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54" w:rsidRPr="00E31DB5" w:rsidRDefault="00E31DB5" w:rsidP="00E31DB5">
      <w:pPr>
        <w:spacing w:after="100" w:afterAutospacing="1" w:line="240" w:lineRule="auto"/>
        <w:jc w:val="center"/>
        <w:rPr>
          <w:rFonts w:ascii="Calibri" w:eastAsia="Calibri" w:hAnsi="Calibri" w:cs="Calibri"/>
          <w:b/>
          <w:color w:val="000000"/>
          <w:sz w:val="24"/>
          <w:szCs w:val="24"/>
          <w:u w:val="single"/>
          <w:lang w:eastAsia="en-US"/>
        </w:rPr>
      </w:pPr>
      <w:r w:rsidRPr="00E31DB5">
        <w:rPr>
          <w:rFonts w:ascii="Calibri" w:eastAsia="Calibri" w:hAnsi="Calibri" w:cs="Calibri"/>
          <w:b/>
          <w:color w:val="000000"/>
          <w:sz w:val="24"/>
          <w:szCs w:val="24"/>
          <w:u w:val="single"/>
          <w:lang w:eastAsia="en-US"/>
        </w:rPr>
        <w:t>Proyecto de ley: se declara la vacunación como acto médico</w:t>
      </w:r>
    </w:p>
    <w:p w:rsidR="00374863" w:rsidRPr="00E31DB5" w:rsidRDefault="00A30363" w:rsidP="00D404E0">
      <w:pPr>
        <w:spacing w:after="100" w:afterAutospacing="1" w:line="240" w:lineRule="auto"/>
        <w:contextualSpacing/>
        <w:jc w:val="center"/>
        <w:rPr>
          <w:sz w:val="24"/>
          <w:szCs w:val="24"/>
          <w:u w:val="single"/>
        </w:rPr>
      </w:pPr>
      <w:r w:rsidRPr="00E31DB5">
        <w:rPr>
          <w:sz w:val="24"/>
          <w:szCs w:val="24"/>
          <w:u w:val="single"/>
        </w:rPr>
        <w:t>Exposición de motivos</w:t>
      </w:r>
    </w:p>
    <w:p w:rsidR="00D404E0" w:rsidRPr="00D404E0" w:rsidRDefault="00D404E0" w:rsidP="00D404E0">
      <w:pPr>
        <w:spacing w:after="100" w:afterAutospacing="1" w:line="240" w:lineRule="auto"/>
        <w:contextualSpacing/>
        <w:jc w:val="center"/>
        <w:rPr>
          <w:b/>
        </w:rPr>
      </w:pPr>
    </w:p>
    <w:p w:rsidR="0007146E" w:rsidRPr="005D1579" w:rsidRDefault="0007146E" w:rsidP="00C177AC">
      <w:pPr>
        <w:spacing w:line="240" w:lineRule="auto"/>
        <w:ind w:firstLine="360"/>
        <w:contextualSpacing/>
        <w:jc w:val="both"/>
      </w:pPr>
      <w:r w:rsidRPr="005D1579">
        <w:t>Hay dos puntos de vista muy importantes para acometer el alcance de una ley sobre vacunas: el del ciudadano y el del estado.</w:t>
      </w:r>
    </w:p>
    <w:p w:rsidR="0007146E" w:rsidRPr="005D1579" w:rsidRDefault="0007146E" w:rsidP="0007146E">
      <w:pPr>
        <w:pStyle w:val="Prrafodelista"/>
        <w:numPr>
          <w:ilvl w:val="0"/>
          <w:numId w:val="10"/>
        </w:numPr>
        <w:spacing w:line="240" w:lineRule="auto"/>
        <w:jc w:val="both"/>
        <w:rPr>
          <w:rFonts w:asciiTheme="minorHAnsi" w:hAnsiTheme="minorHAnsi" w:cstheme="minorHAnsi"/>
          <w:b/>
          <w:u w:val="single"/>
        </w:rPr>
      </w:pPr>
      <w:r w:rsidRPr="005D1579">
        <w:rPr>
          <w:rFonts w:asciiTheme="minorHAnsi" w:hAnsiTheme="minorHAnsi" w:cstheme="minorHAnsi"/>
          <w:b/>
          <w:u w:val="single"/>
        </w:rPr>
        <w:t>Ciudadano</w:t>
      </w:r>
    </w:p>
    <w:p w:rsidR="0007146E" w:rsidRPr="0007146E" w:rsidRDefault="0007146E" w:rsidP="0007146E">
      <w:pPr>
        <w:pStyle w:val="Prrafodelista"/>
        <w:spacing w:line="240" w:lineRule="auto"/>
        <w:jc w:val="both"/>
      </w:pPr>
    </w:p>
    <w:p w:rsidR="00374863" w:rsidRDefault="00A5379D" w:rsidP="00C177AC">
      <w:pPr>
        <w:spacing w:line="240" w:lineRule="auto"/>
        <w:ind w:firstLine="360"/>
        <w:contextualSpacing/>
        <w:jc w:val="both"/>
      </w:pPr>
      <w:r>
        <w:t xml:space="preserve">El decreto-ley </w:t>
      </w:r>
      <w:r w:rsidR="00A30363">
        <w:t>15272 impuso ocho</w:t>
      </w:r>
      <w:r>
        <w:t xml:space="preserve"> vacunas obligator</w:t>
      </w:r>
      <w:r w:rsidR="00E97D80">
        <w:t>i</w:t>
      </w:r>
      <w:r w:rsidR="00A30363">
        <w:t>as en 1982 contra ocho</w:t>
      </w:r>
      <w:r w:rsidR="00C20667">
        <w:t xml:space="preserve"> enfermedades</w:t>
      </w:r>
      <w:r w:rsidR="004B5F98">
        <w:t xml:space="preserve">: </w:t>
      </w:r>
      <w:r w:rsidR="004B5F98" w:rsidRPr="004B5F98">
        <w:t>tuberculosis, poliomielitis, difteria, tétanos, tos ferin</w:t>
      </w:r>
      <w:r w:rsidR="004B5F98">
        <w:t>a, sarampión, rubeola y paperas</w:t>
      </w:r>
      <w:r>
        <w:t xml:space="preserve">. </w:t>
      </w:r>
      <w:r w:rsidR="007D7AA7" w:rsidRPr="005D1579">
        <w:t xml:space="preserve">De las ocho enfermedades, </w:t>
      </w:r>
      <w:r w:rsidR="007D7AA7">
        <w:t>hay cinco</w:t>
      </w:r>
      <w:r w:rsidR="007D7AA7" w:rsidRPr="005D1579">
        <w:t xml:space="preserve"> que desde hace muchos años no se registran casos ni fallecimientos. </w:t>
      </w:r>
      <w:r w:rsidR="00090ED8">
        <w:t xml:space="preserve">Ver reporte </w:t>
      </w:r>
      <w:r w:rsidR="00925229">
        <w:t>de Uruguay ante</w:t>
      </w:r>
      <w:r w:rsidR="00090ED8">
        <w:t xml:space="preserve"> OMS</w:t>
      </w:r>
      <w:r w:rsidR="00965EC9">
        <w:rPr>
          <w:rStyle w:val="Refdenotaalpie"/>
        </w:rPr>
        <w:footnoteReference w:id="1"/>
      </w:r>
      <w:r w:rsidR="007D7AA7">
        <w:t xml:space="preserve"> con los datos al 2019</w:t>
      </w:r>
      <w:r w:rsidR="00965EC9">
        <w:t>.</w:t>
      </w:r>
    </w:p>
    <w:p w:rsidR="00FA03A4" w:rsidRDefault="00FA03A4" w:rsidP="00FA03A4">
      <w:pPr>
        <w:spacing w:after="100" w:afterAutospacing="1" w:line="240" w:lineRule="auto"/>
        <w:ind w:firstLine="360"/>
        <w:contextualSpacing/>
        <w:jc w:val="both"/>
        <w:rPr>
          <w:rFonts w:cstheme="minorHAnsi"/>
        </w:rPr>
      </w:pPr>
      <w:r w:rsidRPr="00977A12">
        <w:rPr>
          <w:rFonts w:cstheme="minorHAnsi"/>
        </w:rPr>
        <w:t xml:space="preserve">El 11 de agosto de 2000 por ley 17250 de defensa del consumidor se establecieron los derechos básicos del consumidor. El art.6 detalla: la libertad de elegir, la protección de la vida, la salud y la seguridad contra los riesgos causados por las prácticas en el suministro de productos y servicios considerados peligrosos o nocivos. </w:t>
      </w:r>
    </w:p>
    <w:p w:rsidR="00D404E0" w:rsidRPr="00977A12" w:rsidRDefault="00D404E0" w:rsidP="00D404E0">
      <w:pPr>
        <w:spacing w:line="240" w:lineRule="auto"/>
        <w:ind w:firstLine="360"/>
        <w:contextualSpacing/>
        <w:jc w:val="both"/>
      </w:pPr>
      <w:r w:rsidRPr="00977A12">
        <w:t>El 11 de agosto de 2008 por ley 18331 se declaró derecho humano la protección de datos personales. El art. 4 declara dato sensible a la información de salud y el art. 18 establece que “</w:t>
      </w:r>
      <w:r w:rsidRPr="00977A12">
        <w:rPr>
          <w:i/>
        </w:rPr>
        <w:t>Ninguna persona puede ser obligada a proporcionar datos sensibles</w:t>
      </w:r>
      <w:r w:rsidRPr="00977A12">
        <w:t xml:space="preserve">”. El carné de vacunas implica proporcionar datos de salud en instancias que no están relacionadas con la asistencia médica. </w:t>
      </w:r>
    </w:p>
    <w:p w:rsidR="00D404E0" w:rsidRDefault="00D404E0" w:rsidP="00D404E0">
      <w:pPr>
        <w:spacing w:line="240" w:lineRule="auto"/>
        <w:ind w:firstLine="360"/>
        <w:contextualSpacing/>
        <w:jc w:val="both"/>
      </w:pPr>
      <w:r w:rsidRPr="00977A12">
        <w:t>El 15 de agosto de 2008 por ley 18335 se definieron los derechos de los pacientes y usuarios de servicios de salud. Su art. 11 estableció el derecho al previo consentimiento informado para cualquier diagnóstico o tratamiento. El art.18 establece el derecho a que se lleve una historia clínica completa “</w:t>
      </w:r>
      <w:r w:rsidRPr="00977A12">
        <w:rPr>
          <w:i/>
        </w:rPr>
        <w:t>donde figure la evolución de su estado de salud desde el nacimiento hasta la muerte</w:t>
      </w:r>
      <w:r w:rsidRPr="00977A12">
        <w:t>”.</w:t>
      </w:r>
    </w:p>
    <w:p w:rsidR="0039582D" w:rsidRDefault="0039582D" w:rsidP="0039582D">
      <w:pPr>
        <w:spacing w:after="100" w:afterAutospacing="1" w:line="240" w:lineRule="auto"/>
        <w:ind w:firstLine="360"/>
        <w:contextualSpacing/>
        <w:jc w:val="both"/>
      </w:pPr>
      <w:r>
        <w:t>El 19 de abril de 2019 por ley 19747 se reconoce la autonomía progresiva de los menores “</w:t>
      </w:r>
      <w:r w:rsidRPr="005020F1">
        <w:rPr>
          <w:i/>
        </w:rPr>
        <w:t>cualquiera sea su edad</w:t>
      </w:r>
      <w:r>
        <w:t>” y el art. 118 establece que “</w:t>
      </w:r>
      <w:r w:rsidRPr="005020F1">
        <w:rPr>
          <w:i/>
        </w:rPr>
        <w:t>Deberá recabarse el previo consentimiento informado de la niña, niño o adolescente el que, conforme a su edad y madurez de acuerdo con su autonomía progresiva, podrá otorgarlo en concurrencia con sus referentes adultos de confianza</w:t>
      </w:r>
      <w:r>
        <w:t>”.</w:t>
      </w:r>
    </w:p>
    <w:p w:rsidR="0039582D" w:rsidRPr="0007146E" w:rsidRDefault="0039582D" w:rsidP="0039582D">
      <w:pPr>
        <w:spacing w:after="100" w:afterAutospacing="1" w:line="240" w:lineRule="auto"/>
        <w:ind w:firstLine="360"/>
        <w:contextualSpacing/>
        <w:jc w:val="both"/>
      </w:pPr>
      <w:r w:rsidRPr="00376B68">
        <w:t>El 19 de octubre de 2005 se aprobó por aclamación y con la participación de Uruguay, la Declaración Universal de Bioética y Derechos Humanos. El art. 3 impone el respeto pleno a “</w:t>
      </w:r>
      <w:r w:rsidRPr="00376B68">
        <w:rPr>
          <w:i/>
        </w:rPr>
        <w:t>la dignidad humana, los derechos humanos y las libertades fundamentales”</w:t>
      </w:r>
      <w:r w:rsidRPr="00376B68">
        <w:t xml:space="preserve"> y establece que  “</w:t>
      </w:r>
      <w:r w:rsidRPr="00376B68">
        <w:rPr>
          <w:i/>
        </w:rPr>
        <w:t>Los intereses y el bienestar de la persona deberían tener prioridad con respecto al interés exclusivo de la ciencia o la sociedad</w:t>
      </w:r>
      <w:r w:rsidRPr="0007146E">
        <w:t>”.</w:t>
      </w:r>
    </w:p>
    <w:p w:rsidR="00D404E0" w:rsidRPr="00977A12" w:rsidRDefault="00D404E0" w:rsidP="00D404E0">
      <w:pPr>
        <w:spacing w:line="240" w:lineRule="auto"/>
        <w:ind w:firstLine="360"/>
        <w:contextualSpacing/>
        <w:jc w:val="both"/>
      </w:pPr>
      <w:r w:rsidRPr="00977A12">
        <w:t xml:space="preserve">El 25 de setiembre de 2014 por ley 19286 se sancionó el código de ética médica. Obliga a todos los médicos en ejercicio en Uruguay a </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 xml:space="preserve">respetar los derechos humanos, </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que el paciente conozca sus derechos,</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 xml:space="preserve">respetar integralmente los derechos humanos, la autonomía y la libertad, </w:t>
      </w:r>
    </w:p>
    <w:p w:rsidR="00D404E0" w:rsidRPr="00B80FBE" w:rsidRDefault="00D404E0" w:rsidP="009849DD">
      <w:pPr>
        <w:pStyle w:val="Prrafodelista"/>
        <w:numPr>
          <w:ilvl w:val="0"/>
          <w:numId w:val="3"/>
        </w:numPr>
        <w:spacing w:line="240" w:lineRule="auto"/>
        <w:rPr>
          <w:rFonts w:asciiTheme="minorHAnsi" w:hAnsiTheme="minorHAnsi" w:cstheme="minorHAnsi"/>
        </w:rPr>
      </w:pPr>
      <w:r w:rsidRPr="00B80FBE">
        <w:rPr>
          <w:rFonts w:asciiTheme="minorHAnsi" w:hAnsiTheme="minorHAnsi" w:cstheme="minorHAnsi"/>
        </w:rPr>
        <w:t>dar informac</w:t>
      </w:r>
      <w:r w:rsidR="00B80FBE" w:rsidRPr="00B80FBE">
        <w:rPr>
          <w:rFonts w:asciiTheme="minorHAnsi" w:hAnsiTheme="minorHAnsi" w:cstheme="minorHAnsi"/>
        </w:rPr>
        <w:t xml:space="preserve">ión completa, veraz y oportuna sobre las </w:t>
      </w:r>
      <w:r w:rsidR="0039582D">
        <w:rPr>
          <w:rFonts w:asciiTheme="minorHAnsi" w:hAnsiTheme="minorHAnsi" w:cstheme="minorHAnsi"/>
        </w:rPr>
        <w:t>indicaciones</w:t>
      </w:r>
      <w:r w:rsidR="00B80FBE" w:rsidRPr="00B80FBE">
        <w:rPr>
          <w:rFonts w:asciiTheme="minorHAnsi" w:hAnsiTheme="minorHAnsi" w:cstheme="minorHAnsi"/>
        </w:rPr>
        <w:t xml:space="preserve"> diagn</w:t>
      </w:r>
      <w:r w:rsidR="00B80FBE">
        <w:rPr>
          <w:rFonts w:asciiTheme="minorHAnsi" w:hAnsiTheme="minorHAnsi" w:cstheme="minorHAnsi"/>
        </w:rPr>
        <w:t>ósticas o terapéuticas</w:t>
      </w:r>
      <w:r w:rsidR="00B80FBE" w:rsidRPr="00B80FBE">
        <w:rPr>
          <w:rFonts w:asciiTheme="minorHAnsi" w:hAnsiTheme="minorHAnsi" w:cstheme="minorHAnsi"/>
        </w:rPr>
        <w:t>, incluyendo las alternativas disponibles en el medio.</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 xml:space="preserve">comunicar los beneficios y los riesgos de cualquier procedimiento diagnóstico o terapéutico propuesto, </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 xml:space="preserve">respetar la libre decisión del paciente incluido el rechazo al mismo, </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 xml:space="preserve">registrar el acto médico en la historia clínica del paciente, </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aceptar el derecho del paciente a la libre elección de su médico,</w:t>
      </w:r>
    </w:p>
    <w:p w:rsidR="00D404E0" w:rsidRPr="00977A12" w:rsidRDefault="00D404E0" w:rsidP="00D404E0">
      <w:pPr>
        <w:pStyle w:val="Prrafodelista"/>
        <w:numPr>
          <w:ilvl w:val="0"/>
          <w:numId w:val="3"/>
        </w:numPr>
        <w:spacing w:line="240" w:lineRule="auto"/>
        <w:rPr>
          <w:rFonts w:asciiTheme="minorHAnsi" w:hAnsiTheme="minorHAnsi" w:cstheme="minorHAnsi"/>
        </w:rPr>
      </w:pPr>
      <w:r w:rsidRPr="00977A12">
        <w:rPr>
          <w:rFonts w:asciiTheme="minorHAnsi" w:hAnsiTheme="minorHAnsi" w:cstheme="minorHAnsi"/>
        </w:rPr>
        <w:t>aceptar la consulta solicitada por el paciente con otro médico.</w:t>
      </w:r>
    </w:p>
    <w:p w:rsidR="00D404E0" w:rsidRPr="00977A12" w:rsidRDefault="00D404E0" w:rsidP="00D404E0">
      <w:pPr>
        <w:spacing w:after="100" w:afterAutospacing="1" w:line="240" w:lineRule="auto"/>
        <w:ind w:firstLine="360"/>
        <w:contextualSpacing/>
        <w:jc w:val="both"/>
        <w:rPr>
          <w:rFonts w:cstheme="minorHAnsi"/>
        </w:rPr>
      </w:pPr>
    </w:p>
    <w:p w:rsidR="00D404E0" w:rsidRDefault="00D24F40" w:rsidP="00D404E0">
      <w:pPr>
        <w:spacing w:after="100" w:afterAutospacing="1" w:line="240" w:lineRule="auto"/>
        <w:ind w:firstLine="360"/>
        <w:contextualSpacing/>
        <w:jc w:val="both"/>
      </w:pPr>
      <w:r w:rsidRPr="00D24F40">
        <w:t>En particular el art.73 establece el derecho del paciente y del médico a la segunda opinión médica. Es decir: la obligatoriedad de procedimientos médicos es contraria a este derecho porque en cualquier asunto puede haber más de una opinión.</w:t>
      </w:r>
    </w:p>
    <w:p w:rsidR="00FA03A4" w:rsidRPr="00C80840" w:rsidRDefault="00FA03A4" w:rsidP="00FA03A4">
      <w:pPr>
        <w:spacing w:after="100" w:afterAutospacing="1" w:line="240" w:lineRule="auto"/>
        <w:ind w:firstLine="360"/>
        <w:contextualSpacing/>
        <w:jc w:val="both"/>
        <w:rPr>
          <w:rFonts w:cstheme="minorHAnsi"/>
        </w:rPr>
      </w:pPr>
      <w:r w:rsidRPr="00374863">
        <w:t>El Ministerio de Salud Pública (MSP) informa en su sitio web que las vacu</w:t>
      </w:r>
      <w:r>
        <w:t>nas son medicamentos biológicos</w:t>
      </w:r>
      <w:r>
        <w:rPr>
          <w:rStyle w:val="Refdenotaalpie"/>
        </w:rPr>
        <w:footnoteReference w:id="2"/>
      </w:r>
      <w:r w:rsidR="00BE5F56">
        <w:t>.</w:t>
      </w:r>
      <w:r>
        <w:t xml:space="preserve"> Además publica los prospectos de las vacunas incluidas en el certificado esquema de vacunación (CEV) vigente, los cuales son provistos por los fabricantes en cumplimiento de la ley 17250 art.8</w:t>
      </w:r>
      <w:r>
        <w:rPr>
          <w:rStyle w:val="Refdenotaalpie"/>
        </w:rPr>
        <w:footnoteReference w:id="3"/>
      </w:r>
      <w:r>
        <w:rPr>
          <w:rFonts w:ascii="Times New Roman" w:hAnsi="Times New Roman" w:cs="Times New Roman"/>
          <w:sz w:val="24"/>
          <w:szCs w:val="24"/>
        </w:rPr>
        <w:t xml:space="preserve">. </w:t>
      </w:r>
      <w:r w:rsidRPr="00C80840">
        <w:rPr>
          <w:rFonts w:cstheme="minorHAnsi"/>
        </w:rPr>
        <w:t>De los 20 prospectos publicados se destaca que:</w:t>
      </w:r>
    </w:p>
    <w:p w:rsidR="00FA03A4" w:rsidRDefault="00FA03A4" w:rsidP="00FA03A4">
      <w:pPr>
        <w:pStyle w:val="Prrafodelista"/>
        <w:numPr>
          <w:ilvl w:val="0"/>
          <w:numId w:val="2"/>
        </w:numPr>
        <w:spacing w:line="240" w:lineRule="auto"/>
        <w:jc w:val="both"/>
        <w:rPr>
          <w:rFonts w:asciiTheme="minorHAnsi" w:hAnsiTheme="minorHAnsi" w:cstheme="minorHAnsi"/>
        </w:rPr>
      </w:pPr>
      <w:r>
        <w:rPr>
          <w:rFonts w:asciiTheme="minorHAnsi" w:hAnsiTheme="minorHAnsi" w:cstheme="minorHAnsi"/>
        </w:rPr>
        <w:t>n</w:t>
      </w:r>
      <w:r w:rsidRPr="00C80840">
        <w:rPr>
          <w:rFonts w:asciiTheme="minorHAnsi" w:hAnsiTheme="minorHAnsi" w:cstheme="minorHAnsi"/>
        </w:rPr>
        <w:t>inguno reporta como beneficio el efecto rebaño o inmunidad de grupo</w:t>
      </w:r>
    </w:p>
    <w:p w:rsidR="00FA03A4" w:rsidRPr="00C80840" w:rsidRDefault="00FA03A4" w:rsidP="00FA03A4">
      <w:pPr>
        <w:pStyle w:val="Prrafodelista"/>
        <w:numPr>
          <w:ilvl w:val="0"/>
          <w:numId w:val="2"/>
        </w:numPr>
        <w:spacing w:line="240" w:lineRule="auto"/>
        <w:jc w:val="both"/>
        <w:rPr>
          <w:rFonts w:asciiTheme="minorHAnsi" w:hAnsiTheme="minorHAnsi" w:cstheme="minorHAnsi"/>
        </w:rPr>
      </w:pPr>
      <w:r>
        <w:rPr>
          <w:rFonts w:asciiTheme="minorHAnsi" w:hAnsiTheme="minorHAnsi" w:cstheme="minorHAnsi"/>
        </w:rPr>
        <w:t xml:space="preserve">algunos advierten </w:t>
      </w:r>
      <w:r w:rsidR="003405A4">
        <w:rPr>
          <w:rFonts w:asciiTheme="minorHAnsi" w:hAnsiTheme="minorHAnsi" w:cstheme="minorHAnsi"/>
        </w:rPr>
        <w:t xml:space="preserve">por </w:t>
      </w:r>
      <w:r>
        <w:rPr>
          <w:rFonts w:asciiTheme="minorHAnsi" w:hAnsiTheme="minorHAnsi" w:cstheme="minorHAnsi"/>
        </w:rPr>
        <w:t>brotes</w:t>
      </w:r>
      <w:r w:rsidR="003A0055">
        <w:rPr>
          <w:rFonts w:asciiTheme="minorHAnsi" w:hAnsiTheme="minorHAnsi" w:cstheme="minorHAnsi"/>
        </w:rPr>
        <w:t xml:space="preserve"> de la propia enfermedad </w:t>
      </w:r>
      <w:r w:rsidR="003405A4">
        <w:rPr>
          <w:rFonts w:asciiTheme="minorHAnsi" w:hAnsiTheme="minorHAnsi" w:cstheme="minorHAnsi"/>
        </w:rPr>
        <w:t xml:space="preserve">en lugar de </w:t>
      </w:r>
      <w:r w:rsidR="003A0055">
        <w:rPr>
          <w:rFonts w:asciiTheme="minorHAnsi" w:hAnsiTheme="minorHAnsi" w:cstheme="minorHAnsi"/>
        </w:rPr>
        <w:t>evitar</w:t>
      </w:r>
      <w:r w:rsidR="003405A4">
        <w:rPr>
          <w:rFonts w:asciiTheme="minorHAnsi" w:hAnsiTheme="minorHAnsi" w:cstheme="minorHAnsi"/>
        </w:rPr>
        <w:t>la</w:t>
      </w:r>
    </w:p>
    <w:p w:rsidR="00FA03A4" w:rsidRPr="00C80840" w:rsidRDefault="00FA03A4" w:rsidP="00FA03A4">
      <w:pPr>
        <w:pStyle w:val="Prrafodelista"/>
        <w:numPr>
          <w:ilvl w:val="0"/>
          <w:numId w:val="2"/>
        </w:numPr>
        <w:spacing w:line="240" w:lineRule="auto"/>
        <w:jc w:val="both"/>
        <w:rPr>
          <w:rFonts w:asciiTheme="minorHAnsi" w:hAnsiTheme="minorHAnsi" w:cstheme="minorHAnsi"/>
        </w:rPr>
      </w:pPr>
      <w:r>
        <w:rPr>
          <w:rFonts w:asciiTheme="minorHAnsi" w:hAnsiTheme="minorHAnsi" w:cstheme="minorHAnsi"/>
        </w:rPr>
        <w:t>m</w:t>
      </w:r>
      <w:r w:rsidRPr="00C80840">
        <w:rPr>
          <w:rFonts w:asciiTheme="minorHAnsi" w:hAnsiTheme="minorHAnsi" w:cstheme="minorHAnsi"/>
        </w:rPr>
        <w:t>uy pocos reportan como beneficio la protección</w:t>
      </w:r>
      <w:r>
        <w:rPr>
          <w:rFonts w:asciiTheme="minorHAnsi" w:hAnsiTheme="minorHAnsi" w:cstheme="minorHAnsi"/>
        </w:rPr>
        <w:t xml:space="preserve"> individual</w:t>
      </w:r>
      <w:r w:rsidRPr="00C80840">
        <w:rPr>
          <w:rFonts w:asciiTheme="minorHAnsi" w:hAnsiTheme="minorHAnsi" w:cstheme="minorHAnsi"/>
        </w:rPr>
        <w:t xml:space="preserve"> contra la enfermedad</w:t>
      </w:r>
    </w:p>
    <w:p w:rsidR="00FA03A4" w:rsidRPr="00C80840" w:rsidRDefault="00FA03A4" w:rsidP="00FA03A4">
      <w:pPr>
        <w:pStyle w:val="Prrafodelista"/>
        <w:numPr>
          <w:ilvl w:val="0"/>
          <w:numId w:val="2"/>
        </w:numPr>
        <w:spacing w:line="240" w:lineRule="auto"/>
        <w:jc w:val="both"/>
        <w:rPr>
          <w:rFonts w:asciiTheme="minorHAnsi" w:hAnsiTheme="minorHAnsi" w:cstheme="minorHAnsi"/>
        </w:rPr>
      </w:pPr>
      <w:r>
        <w:rPr>
          <w:rFonts w:asciiTheme="minorHAnsi" w:hAnsiTheme="minorHAnsi" w:cstheme="minorHAnsi"/>
        </w:rPr>
        <w:t>t</w:t>
      </w:r>
      <w:r w:rsidRPr="00C80840">
        <w:rPr>
          <w:rFonts w:asciiTheme="minorHAnsi" w:hAnsiTheme="minorHAnsi" w:cstheme="minorHAnsi"/>
        </w:rPr>
        <w:t>odos reportan contraindicaciones</w:t>
      </w:r>
    </w:p>
    <w:p w:rsidR="00FA03A4" w:rsidRPr="00C80840" w:rsidRDefault="00FA03A4" w:rsidP="00FA03A4">
      <w:pPr>
        <w:pStyle w:val="Prrafodelista"/>
        <w:numPr>
          <w:ilvl w:val="0"/>
          <w:numId w:val="2"/>
        </w:numPr>
        <w:spacing w:line="240" w:lineRule="auto"/>
        <w:jc w:val="both"/>
        <w:rPr>
          <w:rFonts w:asciiTheme="minorHAnsi" w:hAnsiTheme="minorHAnsi" w:cstheme="minorHAnsi"/>
        </w:rPr>
      </w:pPr>
      <w:r>
        <w:rPr>
          <w:rFonts w:asciiTheme="minorHAnsi" w:hAnsiTheme="minorHAnsi" w:cstheme="minorHAnsi"/>
        </w:rPr>
        <w:t>t</w:t>
      </w:r>
      <w:r w:rsidRPr="00C80840">
        <w:rPr>
          <w:rFonts w:asciiTheme="minorHAnsi" w:hAnsiTheme="minorHAnsi" w:cstheme="minorHAnsi"/>
        </w:rPr>
        <w:t>odos reportan efectos adversos</w:t>
      </w:r>
      <w:r w:rsidR="00CC38E4">
        <w:rPr>
          <w:rFonts w:asciiTheme="minorHAnsi" w:hAnsiTheme="minorHAnsi" w:cstheme="minorHAnsi"/>
        </w:rPr>
        <w:t>.</w:t>
      </w:r>
    </w:p>
    <w:p w:rsidR="001C475B" w:rsidRDefault="001C475B" w:rsidP="001C475B">
      <w:pPr>
        <w:spacing w:line="240" w:lineRule="auto"/>
        <w:ind w:firstLine="360"/>
        <w:contextualSpacing/>
        <w:jc w:val="both"/>
        <w:rPr>
          <w:rFonts w:cstheme="minorHAnsi"/>
        </w:rPr>
      </w:pPr>
    </w:p>
    <w:p w:rsidR="00C80840" w:rsidRDefault="00E97D80" w:rsidP="00C177AC">
      <w:pPr>
        <w:spacing w:line="240" w:lineRule="auto"/>
        <w:ind w:firstLine="360"/>
        <w:contextualSpacing/>
        <w:jc w:val="both"/>
        <w:rPr>
          <w:rFonts w:cstheme="minorHAnsi"/>
        </w:rPr>
      </w:pPr>
      <w:r>
        <w:rPr>
          <w:rFonts w:cstheme="minorHAnsi"/>
        </w:rPr>
        <w:t xml:space="preserve">Las advertencias de los fabricantes no son un mero riesgo. </w:t>
      </w:r>
      <w:r w:rsidR="00C80840">
        <w:rPr>
          <w:rFonts w:cstheme="minorHAnsi"/>
        </w:rPr>
        <w:t>El MSP reporta anualmente</w:t>
      </w:r>
      <w:r w:rsidR="00A5379D" w:rsidRPr="00C80840">
        <w:rPr>
          <w:rFonts w:cstheme="minorHAnsi"/>
        </w:rPr>
        <w:t xml:space="preserve"> las consecuencias de las vacunas </w:t>
      </w:r>
      <w:r w:rsidR="00C80840">
        <w:rPr>
          <w:rFonts w:cstheme="minorHAnsi"/>
        </w:rPr>
        <w:t>en nuestra población</w:t>
      </w:r>
      <w:r w:rsidR="00965EC9">
        <w:rPr>
          <w:rStyle w:val="Refdenotaalpie"/>
          <w:rFonts w:cstheme="minorHAnsi"/>
        </w:rPr>
        <w:footnoteReference w:id="4"/>
      </w:r>
      <w:r w:rsidR="00965EC9">
        <w:rPr>
          <w:rFonts w:cstheme="minorHAnsi"/>
        </w:rPr>
        <w:t xml:space="preserve">. </w:t>
      </w:r>
    </w:p>
    <w:p w:rsidR="00A466F5" w:rsidRDefault="005C6FB1" w:rsidP="00A466F5">
      <w:pPr>
        <w:spacing w:after="0" w:line="240" w:lineRule="auto"/>
        <w:ind w:firstLine="357"/>
        <w:contextualSpacing/>
        <w:jc w:val="both"/>
        <w:rPr>
          <w:rFonts w:cstheme="minorHAnsi"/>
        </w:rPr>
      </w:pPr>
      <w:r w:rsidRPr="005C6FB1">
        <w:rPr>
          <w:rFonts w:cstheme="minorHAnsi"/>
        </w:rPr>
        <w:t xml:space="preserve">En particular respecto a la ocurrencia de brotes advertida por los fabricantes, en 2019 como consecuencia de la campaña de vacunación con la triple viral (sarampión, rubeola, paperas) se produjo un brote de paperas en Uruguay, tal como lo advierte el fabricante y se evidencia por el reporte </w:t>
      </w:r>
      <w:r>
        <w:rPr>
          <w:rFonts w:cstheme="minorHAnsi"/>
        </w:rPr>
        <w:t>de ese año publicado por el MSP</w:t>
      </w:r>
      <w:r w:rsidR="00965EC9">
        <w:rPr>
          <w:rStyle w:val="Refdenotaalpie"/>
          <w:rFonts w:cstheme="minorHAnsi"/>
        </w:rPr>
        <w:footnoteReference w:id="5"/>
      </w:r>
      <w:r w:rsidR="000210D9">
        <w:rPr>
          <w:rFonts w:cstheme="minorHAnsi"/>
        </w:rPr>
        <w:t>.</w:t>
      </w:r>
    </w:p>
    <w:p w:rsidR="00EF72C7" w:rsidRPr="00EF72C7" w:rsidRDefault="00EF72C7" w:rsidP="00A466F5">
      <w:pPr>
        <w:spacing w:after="0" w:line="240" w:lineRule="auto"/>
        <w:ind w:firstLine="357"/>
        <w:contextualSpacing/>
        <w:jc w:val="both"/>
        <w:rPr>
          <w:rFonts w:cstheme="minorHAnsi"/>
        </w:rPr>
      </w:pPr>
      <w:r>
        <w:rPr>
          <w:rFonts w:cstheme="minorHAnsi"/>
        </w:rPr>
        <w:t xml:space="preserve">Un estudio científico uruguayo advierte que el sistema de </w:t>
      </w:r>
      <w:proofErr w:type="spellStart"/>
      <w:r>
        <w:rPr>
          <w:rFonts w:cstheme="minorHAnsi"/>
        </w:rPr>
        <w:t>farmacovigilancia</w:t>
      </w:r>
      <w:proofErr w:type="spellEnd"/>
      <w:r>
        <w:rPr>
          <w:rFonts w:cstheme="minorHAnsi"/>
        </w:rPr>
        <w:t xml:space="preserve"> de las vacunas </w:t>
      </w:r>
      <w:r w:rsidR="008207C9">
        <w:rPr>
          <w:rFonts w:cstheme="minorHAnsi"/>
        </w:rPr>
        <w:t xml:space="preserve">a cargo del MSP </w:t>
      </w:r>
      <w:r>
        <w:rPr>
          <w:rFonts w:cstheme="minorHAnsi"/>
        </w:rPr>
        <w:t xml:space="preserve">presenta un </w:t>
      </w:r>
      <w:proofErr w:type="spellStart"/>
      <w:r>
        <w:rPr>
          <w:rFonts w:cstheme="minorHAnsi"/>
        </w:rPr>
        <w:t>subregistro</w:t>
      </w:r>
      <w:proofErr w:type="spellEnd"/>
      <w:r>
        <w:rPr>
          <w:rFonts w:cstheme="minorHAnsi"/>
        </w:rPr>
        <w:t xml:space="preserve"> importante debido a que</w:t>
      </w:r>
      <w:r w:rsidRPr="00EF72C7">
        <w:rPr>
          <w:rFonts w:cstheme="minorHAnsi"/>
        </w:rPr>
        <w:t xml:space="preserve"> </w:t>
      </w:r>
      <w:r>
        <w:rPr>
          <w:rFonts w:cstheme="minorHAnsi"/>
        </w:rPr>
        <w:t>l</w:t>
      </w:r>
      <w:r w:rsidRPr="00EF72C7">
        <w:rPr>
          <w:rFonts w:cstheme="minorHAnsi"/>
        </w:rPr>
        <w:t>a información cuantitativa y cualitativa sobre eventos adversos es obtenida de reportes espontáneos.</w:t>
      </w:r>
      <w:r>
        <w:rPr>
          <w:rStyle w:val="Refdenotaalpie"/>
          <w:rFonts w:cstheme="minorHAnsi"/>
        </w:rPr>
        <w:footnoteReference w:id="6"/>
      </w:r>
    </w:p>
    <w:p w:rsidR="008E63BE" w:rsidRPr="00C80840" w:rsidRDefault="00E94223" w:rsidP="00C177AC">
      <w:pPr>
        <w:spacing w:line="240" w:lineRule="auto"/>
        <w:ind w:firstLine="360"/>
        <w:contextualSpacing/>
        <w:jc w:val="both"/>
        <w:rPr>
          <w:rFonts w:cstheme="minorHAnsi"/>
        </w:rPr>
      </w:pPr>
      <w:r>
        <w:rPr>
          <w:rFonts w:cstheme="minorHAnsi"/>
        </w:rPr>
        <w:t xml:space="preserve">Los </w:t>
      </w:r>
      <w:r w:rsidR="005D7A32">
        <w:rPr>
          <w:rFonts w:cstheme="minorHAnsi"/>
        </w:rPr>
        <w:t xml:space="preserve">reportes anuales </w:t>
      </w:r>
      <w:r>
        <w:rPr>
          <w:rFonts w:cstheme="minorHAnsi"/>
        </w:rPr>
        <w:t>de afectados por vacunas e</w:t>
      </w:r>
      <w:r w:rsidR="005D7A32">
        <w:rPr>
          <w:rFonts w:cstheme="minorHAnsi"/>
        </w:rPr>
        <w:t>n Uruguay que publica</w:t>
      </w:r>
      <w:r>
        <w:rPr>
          <w:rFonts w:cstheme="minorHAnsi"/>
        </w:rPr>
        <w:t xml:space="preserve"> el MSP</w:t>
      </w:r>
      <w:r w:rsidR="005D7A32">
        <w:rPr>
          <w:rFonts w:cstheme="minorHAnsi"/>
        </w:rPr>
        <w:t>, se construyen</w:t>
      </w:r>
      <w:r w:rsidR="008E63BE">
        <w:rPr>
          <w:rFonts w:cstheme="minorHAnsi"/>
        </w:rPr>
        <w:t xml:space="preserve"> exclusivamente por </w:t>
      </w:r>
      <w:r w:rsidR="00142D41">
        <w:rPr>
          <w:rFonts w:cstheme="minorHAnsi"/>
        </w:rPr>
        <w:t xml:space="preserve">las </w:t>
      </w:r>
      <w:r w:rsidR="008E63BE">
        <w:rPr>
          <w:rFonts w:cstheme="minorHAnsi"/>
        </w:rPr>
        <w:t xml:space="preserve">denuncias de los </w:t>
      </w:r>
      <w:r w:rsidR="005D7A32">
        <w:rPr>
          <w:rFonts w:cstheme="minorHAnsi"/>
        </w:rPr>
        <w:t xml:space="preserve">propios </w:t>
      </w:r>
      <w:r w:rsidR="008E63BE">
        <w:rPr>
          <w:rFonts w:cstheme="minorHAnsi"/>
        </w:rPr>
        <w:t>afectados</w:t>
      </w:r>
      <w:r w:rsidR="005D7A32">
        <w:rPr>
          <w:rFonts w:cstheme="minorHAnsi"/>
        </w:rPr>
        <w:t xml:space="preserve">. Debido </w:t>
      </w:r>
      <w:r w:rsidR="008E63BE">
        <w:rPr>
          <w:rFonts w:cstheme="minorHAnsi"/>
        </w:rPr>
        <w:t>a que la vacunación no es considerada un acto médico y no es registrada en la historia clínica individual de cada persona que la recibe</w:t>
      </w:r>
      <w:r w:rsidR="005D7A32">
        <w:rPr>
          <w:rFonts w:cstheme="minorHAnsi"/>
        </w:rPr>
        <w:t>, e</w:t>
      </w:r>
      <w:r w:rsidR="008E63BE">
        <w:rPr>
          <w:rFonts w:cstheme="minorHAnsi"/>
        </w:rPr>
        <w:t xml:space="preserve">sto promueve el </w:t>
      </w:r>
      <w:proofErr w:type="spellStart"/>
      <w:r w:rsidR="008E63BE">
        <w:rPr>
          <w:rFonts w:cstheme="minorHAnsi"/>
        </w:rPr>
        <w:t>negacionismo</w:t>
      </w:r>
      <w:proofErr w:type="spellEnd"/>
      <w:r w:rsidR="008E63BE">
        <w:rPr>
          <w:rFonts w:cstheme="minorHAnsi"/>
        </w:rPr>
        <w:t xml:space="preserve"> de sus efectos adversos</w:t>
      </w:r>
      <w:r w:rsidR="005D7A32">
        <w:rPr>
          <w:rFonts w:cstheme="minorHAnsi"/>
        </w:rPr>
        <w:t xml:space="preserve"> por parte de los profesionales de la salud</w:t>
      </w:r>
      <w:r w:rsidR="008E63BE">
        <w:rPr>
          <w:rFonts w:cstheme="minorHAnsi"/>
        </w:rPr>
        <w:t>.</w:t>
      </w:r>
    </w:p>
    <w:p w:rsidR="00A5379D" w:rsidRDefault="00A5379D" w:rsidP="00C177AC">
      <w:pPr>
        <w:spacing w:line="240" w:lineRule="auto"/>
        <w:ind w:firstLine="360"/>
        <w:contextualSpacing/>
        <w:jc w:val="both"/>
        <w:rPr>
          <w:rFonts w:cstheme="minorHAnsi"/>
        </w:rPr>
      </w:pPr>
      <w:r w:rsidRPr="00C80840">
        <w:rPr>
          <w:rFonts w:cstheme="minorHAnsi"/>
        </w:rPr>
        <w:t>No existe en nuestro país un sistema indemnizatorio a los ciudadanos dañados por vacunas, como existe en varios países desarrollados</w:t>
      </w:r>
      <w:r w:rsidR="000210D9">
        <w:rPr>
          <w:rStyle w:val="Refdenotaalpie"/>
          <w:rFonts w:cstheme="minorHAnsi"/>
        </w:rPr>
        <w:footnoteReference w:id="7"/>
      </w:r>
      <w:r w:rsidR="001676DA">
        <w:rPr>
          <w:rFonts w:cstheme="minorHAnsi"/>
        </w:rPr>
        <w:t xml:space="preserve"> a pesar de que las vacunas aplicadas en Uruguay fueron creadas y/o provienen de esos países</w:t>
      </w:r>
      <w:r w:rsidR="00377EE4">
        <w:rPr>
          <w:rFonts w:cstheme="minorHAnsi"/>
        </w:rPr>
        <w:t xml:space="preserve"> y de los mismos fabricantes que se someten a dicho sistema en esos países</w:t>
      </w:r>
      <w:r w:rsidR="001676DA">
        <w:rPr>
          <w:rFonts w:cstheme="minorHAnsi"/>
        </w:rPr>
        <w:t>.</w:t>
      </w:r>
    </w:p>
    <w:p w:rsidR="00A5379D" w:rsidRDefault="00B803DB" w:rsidP="00C177AC">
      <w:pPr>
        <w:spacing w:after="100" w:afterAutospacing="1" w:line="240" w:lineRule="auto"/>
        <w:ind w:firstLine="360"/>
        <w:contextualSpacing/>
        <w:jc w:val="both"/>
        <w:rPr>
          <w:rFonts w:cstheme="minorHAnsi"/>
        </w:rPr>
      </w:pPr>
      <w:r w:rsidRPr="00977A12">
        <w:rPr>
          <w:rFonts w:cstheme="minorHAnsi"/>
        </w:rPr>
        <w:t xml:space="preserve">Si una persona que cursa una enfermedad tiene derecho a rechazar un tratamiento que la pueda sanar, las personas sanas no </w:t>
      </w:r>
      <w:r w:rsidR="00490234" w:rsidRPr="00977A12">
        <w:rPr>
          <w:rFonts w:cstheme="minorHAnsi"/>
        </w:rPr>
        <w:t xml:space="preserve">deben ser </w:t>
      </w:r>
      <w:r w:rsidR="00377EE4">
        <w:rPr>
          <w:rFonts w:cstheme="minorHAnsi"/>
        </w:rPr>
        <w:t>obligadas a</w:t>
      </w:r>
      <w:r w:rsidRPr="00977A12">
        <w:rPr>
          <w:rFonts w:cstheme="minorHAnsi"/>
        </w:rPr>
        <w:t xml:space="preserve"> procedimiento</w:t>
      </w:r>
      <w:r w:rsidR="00377EE4">
        <w:rPr>
          <w:rFonts w:cstheme="minorHAnsi"/>
        </w:rPr>
        <w:t>s</w:t>
      </w:r>
      <w:r w:rsidRPr="00977A12">
        <w:rPr>
          <w:rFonts w:cstheme="minorHAnsi"/>
        </w:rPr>
        <w:t xml:space="preserve"> preventivo</w:t>
      </w:r>
      <w:r w:rsidR="00377EE4">
        <w:rPr>
          <w:rFonts w:cstheme="minorHAnsi"/>
        </w:rPr>
        <w:t>s</w:t>
      </w:r>
      <w:r w:rsidRPr="00977A12">
        <w:rPr>
          <w:rFonts w:cstheme="minorHAnsi"/>
        </w:rPr>
        <w:t xml:space="preserve"> que no les </w:t>
      </w:r>
      <w:r w:rsidR="00986DC1" w:rsidRPr="00977A12">
        <w:rPr>
          <w:rFonts w:cstheme="minorHAnsi"/>
        </w:rPr>
        <w:t xml:space="preserve">pueda </w:t>
      </w:r>
      <w:r w:rsidRPr="00977A12">
        <w:rPr>
          <w:rFonts w:cstheme="minorHAnsi"/>
        </w:rPr>
        <w:t>asegura</w:t>
      </w:r>
      <w:r w:rsidR="00986DC1" w:rsidRPr="00977A12">
        <w:rPr>
          <w:rFonts w:cstheme="minorHAnsi"/>
        </w:rPr>
        <w:t>r</w:t>
      </w:r>
      <w:r w:rsidRPr="00977A12">
        <w:rPr>
          <w:rFonts w:cstheme="minorHAnsi"/>
        </w:rPr>
        <w:t xml:space="preserve"> no enfermar, como las vacunas.</w:t>
      </w:r>
      <w:r w:rsidR="00467E6F" w:rsidRPr="00977A12">
        <w:rPr>
          <w:rFonts w:cstheme="minorHAnsi"/>
        </w:rPr>
        <w:t xml:space="preserve"> No se sabe a priori si la vacuna resultará benéfica o dañina. Puesto que hay un riesgo de daño</w:t>
      </w:r>
      <w:r w:rsidR="00E94223" w:rsidRPr="00977A12">
        <w:rPr>
          <w:rFonts w:cstheme="minorHAnsi"/>
        </w:rPr>
        <w:t xml:space="preserve"> por aplicación de una vacuna</w:t>
      </w:r>
      <w:r w:rsidR="00467E6F" w:rsidRPr="00977A12">
        <w:rPr>
          <w:rFonts w:cstheme="minorHAnsi"/>
        </w:rPr>
        <w:t>, debe ser libre la decisión de asumirlo.</w:t>
      </w:r>
    </w:p>
    <w:p w:rsidR="003A0055" w:rsidRDefault="003A0055" w:rsidP="003A0055">
      <w:pPr>
        <w:spacing w:after="100" w:afterAutospacing="1" w:line="240" w:lineRule="auto"/>
        <w:ind w:firstLine="360"/>
        <w:contextualSpacing/>
        <w:jc w:val="both"/>
        <w:rPr>
          <w:rFonts w:cstheme="minorHAnsi"/>
        </w:rPr>
      </w:pPr>
      <w:r w:rsidRPr="00977A12">
        <w:rPr>
          <w:rFonts w:cstheme="minorHAnsi"/>
        </w:rPr>
        <w:lastRenderedPageBreak/>
        <w:t xml:space="preserve">En la órbita del MSP funciona la Comisión </w:t>
      </w:r>
      <w:r>
        <w:rPr>
          <w:rFonts w:cstheme="minorHAnsi"/>
        </w:rPr>
        <w:t xml:space="preserve">Nacional </w:t>
      </w:r>
      <w:r w:rsidRPr="00977A12">
        <w:rPr>
          <w:rFonts w:cstheme="minorHAnsi"/>
        </w:rPr>
        <w:t>Asesora en Vacunas</w:t>
      </w:r>
      <w:r>
        <w:rPr>
          <w:rFonts w:cstheme="minorHAnsi"/>
        </w:rPr>
        <w:t xml:space="preserve"> (CNAV) creada por decreto</w:t>
      </w:r>
      <w:r>
        <w:rPr>
          <w:rStyle w:val="Refdenotaalpie"/>
          <w:rFonts w:cstheme="minorHAnsi"/>
        </w:rPr>
        <w:footnoteReference w:id="8"/>
      </w:r>
      <w:r w:rsidRPr="00977A12">
        <w:rPr>
          <w:rFonts w:cstheme="minorHAnsi"/>
        </w:rPr>
        <w:t>, la cual no está integrada por representantes de la c</w:t>
      </w:r>
      <w:r>
        <w:rPr>
          <w:rFonts w:cstheme="minorHAnsi"/>
        </w:rPr>
        <w:t>iudadanía</w:t>
      </w:r>
      <w:r w:rsidRPr="00977A12">
        <w:rPr>
          <w:rFonts w:cstheme="minorHAnsi"/>
        </w:rPr>
        <w:t>.</w:t>
      </w:r>
    </w:p>
    <w:p w:rsidR="00965EC9" w:rsidRPr="005D1579" w:rsidRDefault="00DC4E08" w:rsidP="00DC4E08">
      <w:pPr>
        <w:pStyle w:val="Prrafodelista"/>
        <w:numPr>
          <w:ilvl w:val="0"/>
          <w:numId w:val="10"/>
        </w:numPr>
        <w:spacing w:line="240" w:lineRule="auto"/>
        <w:jc w:val="both"/>
        <w:rPr>
          <w:rFonts w:asciiTheme="minorHAnsi" w:hAnsiTheme="minorHAnsi" w:cstheme="minorHAnsi"/>
          <w:b/>
          <w:u w:val="single"/>
        </w:rPr>
      </w:pPr>
      <w:r w:rsidRPr="005D1579">
        <w:rPr>
          <w:rFonts w:asciiTheme="minorHAnsi" w:hAnsiTheme="minorHAnsi" w:cstheme="minorHAnsi"/>
          <w:b/>
          <w:u w:val="single"/>
        </w:rPr>
        <w:t>Estado</w:t>
      </w:r>
    </w:p>
    <w:p w:rsidR="00DC4E08" w:rsidRPr="00E947DF" w:rsidRDefault="00DC4E08" w:rsidP="00DC4E08">
      <w:pPr>
        <w:pStyle w:val="Prrafodelista"/>
        <w:spacing w:line="240" w:lineRule="auto"/>
        <w:jc w:val="both"/>
        <w:rPr>
          <w:rFonts w:cstheme="minorHAnsi"/>
        </w:rPr>
      </w:pPr>
    </w:p>
    <w:p w:rsidR="00496E06" w:rsidRPr="00E947DF" w:rsidRDefault="006B4679" w:rsidP="00496E06">
      <w:pPr>
        <w:spacing w:after="100" w:afterAutospacing="1" w:line="240" w:lineRule="auto"/>
        <w:ind w:firstLine="360"/>
        <w:contextualSpacing/>
        <w:jc w:val="both"/>
        <w:rPr>
          <w:rFonts w:cstheme="minorHAnsi"/>
        </w:rPr>
      </w:pPr>
      <w:r>
        <w:rPr>
          <w:rFonts w:cstheme="minorHAnsi"/>
        </w:rPr>
        <w:t>L</w:t>
      </w:r>
      <w:r w:rsidR="00DC4E08" w:rsidRPr="00E947DF">
        <w:rPr>
          <w:rFonts w:cstheme="minorHAnsi"/>
        </w:rPr>
        <w:t xml:space="preserve">as vacunas </w:t>
      </w:r>
      <w:r>
        <w:rPr>
          <w:rFonts w:cstheme="minorHAnsi"/>
        </w:rPr>
        <w:t>no se producen en Uruguay. S</w:t>
      </w:r>
      <w:r w:rsidR="00DC4E08" w:rsidRPr="00E947DF">
        <w:rPr>
          <w:rFonts w:cstheme="minorHAnsi"/>
        </w:rPr>
        <w:t xml:space="preserve">e importan. </w:t>
      </w:r>
      <w:r w:rsidR="00774808" w:rsidRPr="00E947DF">
        <w:rPr>
          <w:rFonts w:cstheme="minorHAnsi"/>
        </w:rPr>
        <w:t>La obligatoriedad para el ciudadano a consumir vacunas</w:t>
      </w:r>
      <w:r w:rsidR="005D1579">
        <w:rPr>
          <w:rFonts w:cstheme="minorHAnsi"/>
        </w:rPr>
        <w:t>, impone la obligación</w:t>
      </w:r>
      <w:r w:rsidR="00774808" w:rsidRPr="00E947DF">
        <w:rPr>
          <w:rFonts w:cstheme="minorHAnsi"/>
        </w:rPr>
        <w:t xml:space="preserve"> </w:t>
      </w:r>
      <w:r w:rsidR="005D1579">
        <w:rPr>
          <w:rFonts w:cstheme="minorHAnsi"/>
        </w:rPr>
        <w:t xml:space="preserve">para </w:t>
      </w:r>
      <w:r w:rsidR="00774808" w:rsidRPr="00E947DF">
        <w:rPr>
          <w:rFonts w:cstheme="minorHAnsi"/>
        </w:rPr>
        <w:t>el Estado a suministrarlas y gratuitamente.</w:t>
      </w:r>
      <w:r w:rsidR="005D1579">
        <w:rPr>
          <w:rFonts w:cstheme="minorHAnsi"/>
        </w:rPr>
        <w:t xml:space="preserve"> La obligación legal</w:t>
      </w:r>
      <w:r w:rsidR="00D246A9" w:rsidRPr="00E947DF">
        <w:rPr>
          <w:rFonts w:cstheme="minorHAnsi"/>
        </w:rPr>
        <w:t xml:space="preserve"> </w:t>
      </w:r>
      <w:r w:rsidR="005D1579">
        <w:rPr>
          <w:rFonts w:cstheme="minorHAnsi"/>
        </w:rPr>
        <w:t>de</w:t>
      </w:r>
      <w:r w:rsidR="00496E06" w:rsidRPr="00E947DF">
        <w:rPr>
          <w:rFonts w:cstheme="minorHAnsi"/>
        </w:rPr>
        <w:t xml:space="preserve"> suministrar un producto importado</w:t>
      </w:r>
      <w:r w:rsidR="00E72D1F" w:rsidRPr="00E947DF">
        <w:rPr>
          <w:rFonts w:cstheme="minorHAnsi"/>
        </w:rPr>
        <w:t xml:space="preserve">, </w:t>
      </w:r>
      <w:r w:rsidR="00496E06" w:rsidRPr="00E947DF">
        <w:rPr>
          <w:rFonts w:cstheme="minorHAnsi"/>
        </w:rPr>
        <w:t>determina pérdida de soberanía.</w:t>
      </w:r>
      <w:r w:rsidR="00E03821" w:rsidRPr="00E947DF">
        <w:rPr>
          <w:rFonts w:cstheme="minorHAnsi"/>
        </w:rPr>
        <w:t xml:space="preserve"> En el caso de las vacunas, implica som</w:t>
      </w:r>
      <w:r w:rsidR="005D1579">
        <w:rPr>
          <w:rFonts w:cstheme="minorHAnsi"/>
        </w:rPr>
        <w:t>eterse a los precios que fija</w:t>
      </w:r>
      <w:r w:rsidR="00E03821" w:rsidRPr="00E947DF">
        <w:rPr>
          <w:rFonts w:cstheme="minorHAnsi"/>
        </w:rPr>
        <w:t xml:space="preserve"> la industria farmacéutica</w:t>
      </w:r>
      <w:r w:rsidR="0003177F" w:rsidRPr="00E947DF">
        <w:rPr>
          <w:rFonts w:cstheme="minorHAnsi"/>
        </w:rPr>
        <w:t xml:space="preserve"> que las producen protegidas por la propiedad intelectual y bajo el régimen de patentes de invención</w:t>
      </w:r>
      <w:r w:rsidR="0051172F" w:rsidRPr="00E947DF">
        <w:rPr>
          <w:rFonts w:cstheme="minorHAnsi"/>
        </w:rPr>
        <w:t xml:space="preserve">. </w:t>
      </w:r>
    </w:p>
    <w:p w:rsidR="00DC4E08" w:rsidRPr="00E947DF" w:rsidRDefault="00DC4E08" w:rsidP="00C177AC">
      <w:pPr>
        <w:spacing w:after="100" w:afterAutospacing="1" w:line="240" w:lineRule="auto"/>
        <w:ind w:firstLine="360"/>
        <w:contextualSpacing/>
        <w:jc w:val="both"/>
        <w:rPr>
          <w:rFonts w:cstheme="minorHAnsi"/>
        </w:rPr>
      </w:pPr>
    </w:p>
    <w:p w:rsidR="00DC4E08" w:rsidRPr="00E947DF" w:rsidRDefault="00DC4E08" w:rsidP="00767D7D">
      <w:pPr>
        <w:spacing w:after="100" w:afterAutospacing="1" w:line="240" w:lineRule="auto"/>
        <w:ind w:firstLine="360"/>
        <w:contextualSpacing/>
        <w:jc w:val="both"/>
        <w:rPr>
          <w:rFonts w:cstheme="minorHAnsi"/>
        </w:rPr>
      </w:pPr>
    </w:p>
    <w:p w:rsidR="00DC4E08" w:rsidRPr="00DC4E08" w:rsidRDefault="00DC4E08" w:rsidP="00DC4E08">
      <w:pPr>
        <w:spacing w:after="100" w:afterAutospacing="1" w:line="240" w:lineRule="auto"/>
        <w:contextualSpacing/>
        <w:jc w:val="center"/>
        <w:rPr>
          <w:b/>
        </w:rPr>
      </w:pPr>
      <w:r w:rsidRPr="00E947DF">
        <w:rPr>
          <w:b/>
        </w:rPr>
        <w:t>CONCLUSIÓN</w:t>
      </w:r>
    </w:p>
    <w:p w:rsidR="00DC4E08" w:rsidRDefault="00DC4E08" w:rsidP="00C177AC">
      <w:pPr>
        <w:spacing w:after="100" w:afterAutospacing="1" w:line="240" w:lineRule="auto"/>
        <w:ind w:firstLine="360"/>
        <w:contextualSpacing/>
        <w:jc w:val="both"/>
        <w:rPr>
          <w:rFonts w:cstheme="minorHAnsi"/>
        </w:rPr>
      </w:pPr>
    </w:p>
    <w:p w:rsidR="00490234" w:rsidRDefault="00490234" w:rsidP="00C177AC">
      <w:pPr>
        <w:spacing w:after="100" w:afterAutospacing="1" w:line="240" w:lineRule="auto"/>
        <w:ind w:firstLine="360"/>
        <w:contextualSpacing/>
        <w:jc w:val="both"/>
        <w:rPr>
          <w:rFonts w:cstheme="minorHAnsi"/>
        </w:rPr>
      </w:pPr>
      <w:r w:rsidRPr="00977A12">
        <w:rPr>
          <w:rFonts w:cstheme="minorHAnsi"/>
        </w:rPr>
        <w:t xml:space="preserve">Considerando el marco normativo vigente que honra el paradigma de los </w:t>
      </w:r>
      <w:r w:rsidR="00C177AC" w:rsidRPr="00977A12">
        <w:rPr>
          <w:rFonts w:cstheme="minorHAnsi"/>
        </w:rPr>
        <w:t>derechos humanos</w:t>
      </w:r>
      <w:r w:rsidRPr="00977A12">
        <w:rPr>
          <w:rFonts w:cstheme="minorHAnsi"/>
        </w:rPr>
        <w:t xml:space="preserve">, se propone el siguiente proyecto de ley para </w:t>
      </w:r>
      <w:r w:rsidR="00C177AC" w:rsidRPr="00977A12">
        <w:rPr>
          <w:rFonts w:cstheme="minorHAnsi"/>
        </w:rPr>
        <w:t xml:space="preserve">actualizar la política de vacunación garantizando </w:t>
      </w:r>
      <w:r w:rsidR="007279AE" w:rsidRPr="00977A12">
        <w:rPr>
          <w:rFonts w:cstheme="minorHAnsi"/>
        </w:rPr>
        <w:t xml:space="preserve">a cada ciudadano </w:t>
      </w:r>
      <w:r w:rsidR="00C177AC" w:rsidRPr="00977A12">
        <w:rPr>
          <w:rFonts w:cstheme="minorHAnsi"/>
        </w:rPr>
        <w:t xml:space="preserve">el </w:t>
      </w:r>
      <w:r w:rsidR="007279AE" w:rsidRPr="00977A12">
        <w:rPr>
          <w:rFonts w:cstheme="minorHAnsi"/>
        </w:rPr>
        <w:t xml:space="preserve">fiel </w:t>
      </w:r>
      <w:r w:rsidR="00C177AC" w:rsidRPr="00977A12">
        <w:rPr>
          <w:rFonts w:cstheme="minorHAnsi"/>
        </w:rPr>
        <w:t>cumplimiento del art.44 de la Constitución</w:t>
      </w:r>
      <w:r w:rsidRPr="00977A12">
        <w:rPr>
          <w:rFonts w:cstheme="minorHAnsi"/>
        </w:rPr>
        <w:t>.</w:t>
      </w:r>
    </w:p>
    <w:p w:rsidR="00767D7D" w:rsidRDefault="00767D7D">
      <w:pPr>
        <w:rPr>
          <w:rFonts w:cstheme="minorHAnsi"/>
        </w:rPr>
      </w:pPr>
      <w:r>
        <w:rPr>
          <w:rFonts w:cstheme="minorHAnsi"/>
        </w:rPr>
        <w:br w:type="page"/>
      </w:r>
    </w:p>
    <w:p w:rsidR="00FC74AC" w:rsidRPr="00C42EAB" w:rsidRDefault="00FC74AC" w:rsidP="00FC74AC">
      <w:pPr>
        <w:spacing w:after="100" w:afterAutospacing="1" w:line="240" w:lineRule="auto"/>
        <w:contextualSpacing/>
        <w:jc w:val="both"/>
        <w:rPr>
          <w:rFonts w:cstheme="minorHAnsi"/>
          <w:sz w:val="24"/>
          <w:szCs w:val="24"/>
        </w:rPr>
      </w:pPr>
      <w:bookmarkStart w:id="0" w:name="_GoBack"/>
    </w:p>
    <w:p w:rsidR="00730C32" w:rsidRPr="00C42EAB" w:rsidRDefault="00C42EAB" w:rsidP="00FC74AC">
      <w:pPr>
        <w:spacing w:after="100" w:afterAutospacing="1" w:line="240" w:lineRule="auto"/>
        <w:contextualSpacing/>
        <w:jc w:val="center"/>
        <w:rPr>
          <w:rFonts w:cstheme="minorHAnsi"/>
          <w:b/>
          <w:sz w:val="24"/>
          <w:szCs w:val="24"/>
          <w:u w:val="single"/>
        </w:rPr>
      </w:pPr>
      <w:r w:rsidRPr="00C42EAB">
        <w:rPr>
          <w:rFonts w:cstheme="minorHAnsi"/>
          <w:b/>
          <w:sz w:val="24"/>
          <w:szCs w:val="24"/>
          <w:u w:val="single"/>
        </w:rPr>
        <w:t>Articulado</w:t>
      </w:r>
    </w:p>
    <w:bookmarkEnd w:id="0"/>
    <w:p w:rsidR="00FC74AC" w:rsidRPr="00467E6F" w:rsidRDefault="00FC74AC" w:rsidP="00FC74AC">
      <w:pPr>
        <w:spacing w:after="100" w:afterAutospacing="1" w:line="240" w:lineRule="auto"/>
        <w:contextualSpacing/>
        <w:jc w:val="center"/>
        <w:rPr>
          <w:rFonts w:cstheme="minorHAnsi"/>
          <w:b/>
          <w:sz w:val="28"/>
          <w:szCs w:val="28"/>
          <w:u w:val="single"/>
        </w:rPr>
      </w:pPr>
    </w:p>
    <w:p w:rsidR="006A253B" w:rsidRDefault="0081079D" w:rsidP="00FC74AC">
      <w:pPr>
        <w:spacing w:after="100" w:afterAutospacing="1" w:line="240" w:lineRule="auto"/>
        <w:contextualSpacing/>
        <w:jc w:val="both"/>
        <w:rPr>
          <w:rFonts w:cstheme="minorHAnsi"/>
        </w:rPr>
      </w:pPr>
      <w:r w:rsidRPr="00A30363">
        <w:rPr>
          <w:b/>
          <w:u w:val="single"/>
        </w:rPr>
        <w:t>Artículo</w:t>
      </w:r>
      <w:r w:rsidR="00801EE3" w:rsidRPr="00A30363">
        <w:rPr>
          <w:b/>
          <w:u w:val="single"/>
        </w:rPr>
        <w:t xml:space="preserve"> 1</w:t>
      </w:r>
      <w:r w:rsidR="00801EE3">
        <w:rPr>
          <w:rFonts w:cstheme="minorHAnsi"/>
        </w:rPr>
        <w:t xml:space="preserve">: </w:t>
      </w:r>
      <w:r w:rsidR="006A253B">
        <w:rPr>
          <w:rFonts w:cstheme="minorHAnsi"/>
        </w:rPr>
        <w:t>Definición.</w:t>
      </w:r>
    </w:p>
    <w:p w:rsidR="006A253B" w:rsidRDefault="006A253B" w:rsidP="00FC74AC">
      <w:pPr>
        <w:spacing w:after="100" w:afterAutospacing="1" w:line="240" w:lineRule="auto"/>
        <w:contextualSpacing/>
        <w:jc w:val="both"/>
        <w:rPr>
          <w:rFonts w:cstheme="minorHAnsi"/>
        </w:rPr>
      </w:pPr>
      <w:r>
        <w:rPr>
          <w:rFonts w:cstheme="minorHAnsi"/>
        </w:rPr>
        <w:t>L</w:t>
      </w:r>
      <w:r w:rsidR="00801EE3">
        <w:rPr>
          <w:rFonts w:cstheme="minorHAnsi"/>
        </w:rPr>
        <w:t>a vacunación es un acto médico</w:t>
      </w:r>
      <w:r w:rsidR="00FC42AA">
        <w:rPr>
          <w:rFonts w:cstheme="minorHAnsi"/>
        </w:rPr>
        <w:t xml:space="preserve">. </w:t>
      </w:r>
    </w:p>
    <w:p w:rsidR="006A253B" w:rsidRDefault="006A253B" w:rsidP="00FC74AC">
      <w:pPr>
        <w:spacing w:after="100" w:afterAutospacing="1" w:line="240" w:lineRule="auto"/>
        <w:contextualSpacing/>
        <w:jc w:val="both"/>
        <w:rPr>
          <w:rFonts w:cstheme="minorHAnsi"/>
        </w:rPr>
      </w:pPr>
    </w:p>
    <w:p w:rsidR="006A253B" w:rsidRDefault="006A253B" w:rsidP="00FC74AC">
      <w:pPr>
        <w:spacing w:after="100" w:afterAutospacing="1" w:line="240" w:lineRule="auto"/>
        <w:contextualSpacing/>
        <w:jc w:val="both"/>
        <w:rPr>
          <w:rFonts w:cstheme="minorHAnsi"/>
        </w:rPr>
      </w:pPr>
      <w:r w:rsidRPr="00A30363">
        <w:rPr>
          <w:b/>
          <w:u w:val="single"/>
        </w:rPr>
        <w:t>Artículo</w:t>
      </w:r>
      <w:r>
        <w:rPr>
          <w:b/>
          <w:u w:val="single"/>
        </w:rPr>
        <w:t xml:space="preserve"> 2</w:t>
      </w:r>
      <w:r>
        <w:rPr>
          <w:rFonts w:cstheme="minorHAnsi"/>
        </w:rPr>
        <w:t>: obligaciones del médico.</w:t>
      </w:r>
    </w:p>
    <w:p w:rsidR="000E361B" w:rsidRDefault="00861F07" w:rsidP="00FC74AC">
      <w:pPr>
        <w:spacing w:after="100" w:afterAutospacing="1" w:line="240" w:lineRule="auto"/>
        <w:contextualSpacing/>
        <w:jc w:val="both"/>
        <w:rPr>
          <w:rFonts w:cstheme="minorHAnsi"/>
        </w:rPr>
      </w:pPr>
      <w:r>
        <w:rPr>
          <w:rFonts w:cstheme="minorHAnsi"/>
        </w:rPr>
        <w:t>El médico</w:t>
      </w:r>
      <w:r w:rsidR="008D79BC">
        <w:rPr>
          <w:rFonts w:cstheme="minorHAnsi"/>
        </w:rPr>
        <w:t xml:space="preserve"> debe</w:t>
      </w:r>
      <w:r w:rsidR="000E361B">
        <w:rPr>
          <w:rFonts w:cstheme="minorHAnsi"/>
        </w:rPr>
        <w:t>:</w:t>
      </w:r>
    </w:p>
    <w:p w:rsidR="000E361B" w:rsidRPr="000E361B" w:rsidRDefault="00861F07" w:rsidP="00D34C9A">
      <w:pPr>
        <w:pStyle w:val="Prrafodelista"/>
        <w:numPr>
          <w:ilvl w:val="0"/>
          <w:numId w:val="13"/>
        </w:numPr>
        <w:spacing w:after="100" w:afterAutospacing="1" w:line="240" w:lineRule="auto"/>
        <w:jc w:val="both"/>
        <w:rPr>
          <w:rFonts w:asciiTheme="minorHAnsi" w:hAnsiTheme="minorHAnsi" w:cstheme="minorHAnsi"/>
        </w:rPr>
      </w:pPr>
      <w:r w:rsidRPr="000E361B">
        <w:rPr>
          <w:rFonts w:asciiTheme="minorHAnsi" w:hAnsiTheme="minorHAnsi" w:cstheme="minorHAnsi"/>
        </w:rPr>
        <w:t xml:space="preserve">informar los beneficios y los daños que </w:t>
      </w:r>
      <w:r w:rsidR="00CD43E1" w:rsidRPr="000E361B">
        <w:rPr>
          <w:rFonts w:asciiTheme="minorHAnsi" w:hAnsiTheme="minorHAnsi" w:cstheme="minorHAnsi"/>
        </w:rPr>
        <w:t xml:space="preserve">ella </w:t>
      </w:r>
      <w:r w:rsidRPr="000E361B">
        <w:rPr>
          <w:rFonts w:asciiTheme="minorHAnsi" w:hAnsiTheme="minorHAnsi" w:cstheme="minorHAnsi"/>
        </w:rPr>
        <w:t>puede provocar (ley 19286 art.</w:t>
      </w:r>
      <w:r w:rsidR="0074516B" w:rsidRPr="000E361B">
        <w:rPr>
          <w:rFonts w:asciiTheme="minorHAnsi" w:hAnsiTheme="minorHAnsi" w:cstheme="minorHAnsi"/>
        </w:rPr>
        <w:t xml:space="preserve">13 </w:t>
      </w:r>
      <w:proofErr w:type="spellStart"/>
      <w:r w:rsidR="0074516B" w:rsidRPr="000E361B">
        <w:rPr>
          <w:rFonts w:asciiTheme="minorHAnsi" w:hAnsiTheme="minorHAnsi" w:cstheme="minorHAnsi"/>
        </w:rPr>
        <w:t>inc.b</w:t>
      </w:r>
      <w:proofErr w:type="spellEnd"/>
      <w:r w:rsidRPr="000E361B">
        <w:rPr>
          <w:rFonts w:asciiTheme="minorHAnsi" w:hAnsiTheme="minorHAnsi" w:cstheme="minorHAnsi"/>
        </w:rPr>
        <w:t>)</w:t>
      </w:r>
      <w:r w:rsidR="00467E6F" w:rsidRPr="000E361B">
        <w:rPr>
          <w:rFonts w:asciiTheme="minorHAnsi" w:hAnsiTheme="minorHAnsi" w:cstheme="minorHAnsi"/>
        </w:rPr>
        <w:t xml:space="preserve">. </w:t>
      </w:r>
    </w:p>
    <w:p w:rsidR="00895329" w:rsidRDefault="00895329" w:rsidP="00D34C9A">
      <w:pPr>
        <w:pStyle w:val="Prrafodelista"/>
        <w:numPr>
          <w:ilvl w:val="0"/>
          <w:numId w:val="13"/>
        </w:numPr>
        <w:spacing w:after="100" w:afterAutospacing="1" w:line="240" w:lineRule="auto"/>
        <w:jc w:val="both"/>
        <w:rPr>
          <w:rFonts w:asciiTheme="minorHAnsi" w:hAnsiTheme="minorHAnsi" w:cstheme="minorHAnsi"/>
        </w:rPr>
      </w:pPr>
      <w:r w:rsidRPr="000E361B">
        <w:rPr>
          <w:rFonts w:asciiTheme="minorHAnsi" w:hAnsiTheme="minorHAnsi" w:cstheme="minorHAnsi"/>
        </w:rPr>
        <w:t xml:space="preserve">registrar la </w:t>
      </w:r>
      <w:r w:rsidR="00F0674B">
        <w:rPr>
          <w:rFonts w:asciiTheme="minorHAnsi" w:hAnsiTheme="minorHAnsi" w:cstheme="minorHAnsi"/>
        </w:rPr>
        <w:t xml:space="preserve">indicación de </w:t>
      </w:r>
      <w:r w:rsidRPr="000E361B">
        <w:rPr>
          <w:rFonts w:asciiTheme="minorHAnsi" w:hAnsiTheme="minorHAnsi" w:cstheme="minorHAnsi"/>
        </w:rPr>
        <w:t>vacuna</w:t>
      </w:r>
      <w:r>
        <w:rPr>
          <w:rFonts w:asciiTheme="minorHAnsi" w:hAnsiTheme="minorHAnsi" w:cstheme="minorHAnsi"/>
        </w:rPr>
        <w:t>ción en la historia clínica</w:t>
      </w:r>
      <w:r w:rsidRPr="000E361B">
        <w:rPr>
          <w:rFonts w:asciiTheme="minorHAnsi" w:hAnsiTheme="minorHAnsi" w:cstheme="minorHAnsi"/>
        </w:rPr>
        <w:t xml:space="preserve"> (ley 19286 art.15 </w:t>
      </w:r>
      <w:proofErr w:type="spellStart"/>
      <w:r w:rsidRPr="000E361B">
        <w:rPr>
          <w:rFonts w:asciiTheme="minorHAnsi" w:hAnsiTheme="minorHAnsi" w:cstheme="minorHAnsi"/>
        </w:rPr>
        <w:t>inc.a</w:t>
      </w:r>
      <w:proofErr w:type="spellEnd"/>
      <w:r>
        <w:rPr>
          <w:rFonts w:asciiTheme="minorHAnsi" w:hAnsiTheme="minorHAnsi" w:cstheme="minorHAnsi"/>
        </w:rPr>
        <w:t>)</w:t>
      </w:r>
      <w:r w:rsidR="00F0674B">
        <w:rPr>
          <w:rFonts w:asciiTheme="minorHAnsi" w:hAnsiTheme="minorHAnsi" w:cstheme="minorHAnsi"/>
        </w:rPr>
        <w:t xml:space="preserve"> </w:t>
      </w:r>
    </w:p>
    <w:p w:rsidR="00F0674B" w:rsidRDefault="00F0674B" w:rsidP="00D34C9A">
      <w:pPr>
        <w:pStyle w:val="Prrafodelista"/>
        <w:numPr>
          <w:ilvl w:val="0"/>
          <w:numId w:val="13"/>
        </w:numPr>
        <w:spacing w:after="100" w:afterAutospacing="1" w:line="240" w:lineRule="auto"/>
        <w:jc w:val="both"/>
        <w:rPr>
          <w:rFonts w:asciiTheme="minorHAnsi" w:hAnsiTheme="minorHAnsi" w:cstheme="minorHAnsi"/>
        </w:rPr>
      </w:pPr>
      <w:r>
        <w:rPr>
          <w:rFonts w:asciiTheme="minorHAnsi" w:hAnsiTheme="minorHAnsi" w:cstheme="minorHAnsi"/>
        </w:rPr>
        <w:t xml:space="preserve">registrar el consentimiento del paciente </w:t>
      </w:r>
      <w:r w:rsidRPr="000E361B">
        <w:rPr>
          <w:rFonts w:asciiTheme="minorHAnsi" w:hAnsiTheme="minorHAnsi" w:cstheme="minorHAnsi"/>
        </w:rPr>
        <w:t xml:space="preserve">o su representante legal (ley 18335 art.11 y ley 19286 art.13 </w:t>
      </w:r>
      <w:proofErr w:type="spellStart"/>
      <w:r w:rsidRPr="000E361B">
        <w:rPr>
          <w:rFonts w:asciiTheme="minorHAnsi" w:hAnsiTheme="minorHAnsi" w:cstheme="minorHAnsi"/>
        </w:rPr>
        <w:t>inc.d</w:t>
      </w:r>
      <w:proofErr w:type="spellEnd"/>
      <w:r w:rsidRPr="000E361B">
        <w:rPr>
          <w:rFonts w:asciiTheme="minorHAnsi" w:hAnsiTheme="minorHAnsi" w:cstheme="minorHAnsi"/>
        </w:rPr>
        <w:t>) en la historia cl</w:t>
      </w:r>
      <w:r>
        <w:rPr>
          <w:rFonts w:asciiTheme="minorHAnsi" w:hAnsiTheme="minorHAnsi" w:cstheme="minorHAnsi"/>
        </w:rPr>
        <w:t>ínica</w:t>
      </w:r>
      <w:r w:rsidRPr="000E361B">
        <w:rPr>
          <w:rFonts w:asciiTheme="minorHAnsi" w:hAnsiTheme="minorHAnsi" w:cstheme="minorHAnsi"/>
        </w:rPr>
        <w:t xml:space="preserve">. </w:t>
      </w:r>
    </w:p>
    <w:p w:rsidR="00D34C9A" w:rsidRDefault="00D34C9A" w:rsidP="00D34C9A">
      <w:pPr>
        <w:pStyle w:val="Prrafodelista"/>
        <w:numPr>
          <w:ilvl w:val="0"/>
          <w:numId w:val="13"/>
        </w:numPr>
        <w:spacing w:after="100" w:afterAutospacing="1" w:line="240" w:lineRule="auto"/>
        <w:jc w:val="both"/>
        <w:rPr>
          <w:rFonts w:asciiTheme="minorHAnsi" w:hAnsiTheme="minorHAnsi" w:cstheme="minorHAnsi"/>
        </w:rPr>
      </w:pPr>
      <w:r>
        <w:rPr>
          <w:rFonts w:asciiTheme="minorHAnsi" w:hAnsiTheme="minorHAnsi" w:cstheme="minorHAnsi"/>
        </w:rPr>
        <w:t>expedir receta.</w:t>
      </w:r>
    </w:p>
    <w:p w:rsidR="006A253B" w:rsidRDefault="00D9088C" w:rsidP="006A253B">
      <w:pPr>
        <w:spacing w:after="0" w:line="240" w:lineRule="auto"/>
        <w:jc w:val="both"/>
        <w:rPr>
          <w:rFonts w:cstheme="minorHAnsi"/>
          <w:b/>
          <w:u w:val="single"/>
        </w:rPr>
      </w:pPr>
      <w:r w:rsidRPr="00977A12">
        <w:rPr>
          <w:rFonts w:cstheme="minorHAnsi"/>
          <w:b/>
          <w:u w:val="single"/>
        </w:rPr>
        <w:t xml:space="preserve">Artículo </w:t>
      </w:r>
      <w:r w:rsidR="00767D7D">
        <w:rPr>
          <w:rFonts w:cstheme="minorHAnsi"/>
          <w:b/>
          <w:u w:val="single"/>
        </w:rPr>
        <w:t>3</w:t>
      </w:r>
      <w:r>
        <w:rPr>
          <w:rFonts w:cstheme="minorHAnsi"/>
          <w:b/>
          <w:u w:val="single"/>
        </w:rPr>
        <w:t>:</w:t>
      </w:r>
      <w:r w:rsidRPr="006A253B">
        <w:rPr>
          <w:rFonts w:cstheme="minorHAnsi"/>
        </w:rPr>
        <w:t xml:space="preserve"> </w:t>
      </w:r>
      <w:r w:rsidR="006A253B" w:rsidRPr="006A253B">
        <w:rPr>
          <w:rFonts w:cstheme="minorHAnsi"/>
        </w:rPr>
        <w:t>derechos de la persona</w:t>
      </w:r>
      <w:r w:rsidR="006A253B">
        <w:rPr>
          <w:rFonts w:cstheme="minorHAnsi"/>
        </w:rPr>
        <w:t>.</w:t>
      </w:r>
    </w:p>
    <w:p w:rsidR="00D9088C" w:rsidRDefault="006A253B" w:rsidP="006A253B">
      <w:pPr>
        <w:spacing w:after="0" w:line="240" w:lineRule="auto"/>
        <w:jc w:val="both"/>
        <w:rPr>
          <w:rFonts w:cstheme="minorHAnsi"/>
        </w:rPr>
      </w:pPr>
      <w:r>
        <w:rPr>
          <w:rFonts w:cstheme="minorHAnsi"/>
        </w:rPr>
        <w:t>La persona</w:t>
      </w:r>
      <w:r w:rsidR="00AA3DC7">
        <w:rPr>
          <w:rFonts w:cstheme="minorHAnsi"/>
        </w:rPr>
        <w:t xml:space="preserve"> que opte por vacunarse </w:t>
      </w:r>
      <w:r w:rsidR="00D9088C">
        <w:rPr>
          <w:rFonts w:cstheme="minorHAnsi"/>
        </w:rPr>
        <w:t>debe recibir</w:t>
      </w:r>
      <w:r w:rsidR="000B19A3">
        <w:rPr>
          <w:rFonts w:cstheme="minorHAnsi"/>
        </w:rPr>
        <w:t>:</w:t>
      </w:r>
    </w:p>
    <w:p w:rsidR="00D34C9A" w:rsidRPr="00D9088C" w:rsidRDefault="00D34C9A" w:rsidP="006A253B">
      <w:pPr>
        <w:spacing w:after="0" w:line="240" w:lineRule="auto"/>
        <w:jc w:val="both"/>
        <w:rPr>
          <w:rFonts w:cstheme="minorHAnsi"/>
        </w:rPr>
      </w:pPr>
    </w:p>
    <w:p w:rsidR="000B19A3" w:rsidRDefault="00F0674B" w:rsidP="00083E05">
      <w:pPr>
        <w:pStyle w:val="Prrafodelista"/>
        <w:numPr>
          <w:ilvl w:val="0"/>
          <w:numId w:val="12"/>
        </w:numPr>
        <w:spacing w:after="100" w:afterAutospacing="1" w:line="240" w:lineRule="auto"/>
        <w:jc w:val="both"/>
        <w:rPr>
          <w:rFonts w:asciiTheme="minorHAnsi" w:hAnsiTheme="minorHAnsi" w:cstheme="minorHAnsi"/>
        </w:rPr>
      </w:pPr>
      <w:r w:rsidRPr="000B19A3">
        <w:rPr>
          <w:rFonts w:asciiTheme="minorHAnsi" w:hAnsiTheme="minorHAnsi" w:cstheme="minorHAnsi"/>
        </w:rPr>
        <w:t xml:space="preserve">constancia de la vacunación </w:t>
      </w:r>
      <w:r w:rsidR="00895329" w:rsidRPr="000B19A3">
        <w:rPr>
          <w:rFonts w:asciiTheme="minorHAnsi" w:hAnsiTheme="minorHAnsi" w:cstheme="minorHAnsi"/>
        </w:rPr>
        <w:t xml:space="preserve">con la </w:t>
      </w:r>
      <w:r w:rsidR="00D34C9A">
        <w:rPr>
          <w:rFonts w:asciiTheme="minorHAnsi" w:hAnsiTheme="minorHAnsi" w:cstheme="minorHAnsi"/>
        </w:rPr>
        <w:t>i</w:t>
      </w:r>
      <w:r w:rsidR="00895329" w:rsidRPr="000B19A3">
        <w:rPr>
          <w:rFonts w:asciiTheme="minorHAnsi" w:hAnsiTheme="minorHAnsi" w:cstheme="minorHAnsi"/>
        </w:rPr>
        <w:t xml:space="preserve">nformación </w:t>
      </w:r>
      <w:r w:rsidR="00D34C9A">
        <w:rPr>
          <w:rFonts w:asciiTheme="minorHAnsi" w:hAnsiTheme="minorHAnsi" w:cstheme="minorHAnsi"/>
        </w:rPr>
        <w:t>de trazabilidad de</w:t>
      </w:r>
      <w:r w:rsidR="00895329" w:rsidRPr="000B19A3">
        <w:rPr>
          <w:rFonts w:asciiTheme="minorHAnsi" w:hAnsiTheme="minorHAnsi" w:cstheme="minorHAnsi"/>
        </w:rPr>
        <w:t xml:space="preserve"> la vacuna aplicada</w:t>
      </w:r>
      <w:r w:rsidR="00D34C9A">
        <w:rPr>
          <w:rFonts w:asciiTheme="minorHAnsi" w:hAnsiTheme="minorHAnsi" w:cstheme="minorHAnsi"/>
        </w:rPr>
        <w:t xml:space="preserve"> (como la</w:t>
      </w:r>
      <w:r w:rsidR="00895329" w:rsidRPr="000B19A3">
        <w:rPr>
          <w:rFonts w:asciiTheme="minorHAnsi" w:hAnsiTheme="minorHAnsi" w:cstheme="minorHAnsi"/>
        </w:rPr>
        <w:t xml:space="preserve"> marca, fabricante, lote, fecha de vencimiento</w:t>
      </w:r>
      <w:r w:rsidR="00A466F5">
        <w:rPr>
          <w:rFonts w:asciiTheme="minorHAnsi" w:hAnsiTheme="minorHAnsi" w:cstheme="minorHAnsi"/>
        </w:rPr>
        <w:t>),</w:t>
      </w:r>
      <w:r w:rsidR="00D34C9A">
        <w:rPr>
          <w:rFonts w:asciiTheme="minorHAnsi" w:hAnsiTheme="minorHAnsi" w:cstheme="minorHAnsi"/>
        </w:rPr>
        <w:t xml:space="preserve"> la</w:t>
      </w:r>
      <w:r w:rsidR="00895329" w:rsidRPr="000B19A3">
        <w:rPr>
          <w:rFonts w:asciiTheme="minorHAnsi" w:hAnsiTheme="minorHAnsi" w:cstheme="minorHAnsi"/>
        </w:rPr>
        <w:t xml:space="preserve"> dosificación </w:t>
      </w:r>
      <w:r w:rsidR="00A466F5">
        <w:rPr>
          <w:rFonts w:asciiTheme="minorHAnsi" w:hAnsiTheme="minorHAnsi" w:cstheme="minorHAnsi"/>
        </w:rPr>
        <w:t>recibida</w:t>
      </w:r>
      <w:r w:rsidR="00D34C9A">
        <w:rPr>
          <w:rFonts w:asciiTheme="minorHAnsi" w:hAnsiTheme="minorHAnsi" w:cstheme="minorHAnsi"/>
        </w:rPr>
        <w:t xml:space="preserve"> </w:t>
      </w:r>
      <w:r w:rsidR="00895329" w:rsidRPr="000B19A3">
        <w:rPr>
          <w:rFonts w:asciiTheme="minorHAnsi" w:hAnsiTheme="minorHAnsi" w:cstheme="minorHAnsi"/>
        </w:rPr>
        <w:t xml:space="preserve">y </w:t>
      </w:r>
      <w:r w:rsidR="00D34C9A">
        <w:rPr>
          <w:rFonts w:asciiTheme="minorHAnsi" w:hAnsiTheme="minorHAnsi" w:cstheme="minorHAnsi"/>
        </w:rPr>
        <w:t xml:space="preserve">la </w:t>
      </w:r>
      <w:r w:rsidR="00895329" w:rsidRPr="000B19A3">
        <w:rPr>
          <w:rFonts w:asciiTheme="minorHAnsi" w:hAnsiTheme="minorHAnsi" w:cstheme="minorHAnsi"/>
        </w:rPr>
        <w:t>vía de administración.</w:t>
      </w:r>
    </w:p>
    <w:p w:rsidR="00895329" w:rsidRPr="000B19A3" w:rsidRDefault="00895329" w:rsidP="00083E05">
      <w:pPr>
        <w:pStyle w:val="Prrafodelista"/>
        <w:numPr>
          <w:ilvl w:val="0"/>
          <w:numId w:val="12"/>
        </w:numPr>
        <w:spacing w:after="100" w:afterAutospacing="1" w:line="240" w:lineRule="auto"/>
        <w:jc w:val="both"/>
        <w:rPr>
          <w:rFonts w:asciiTheme="minorHAnsi" w:hAnsiTheme="minorHAnsi" w:cstheme="minorHAnsi"/>
        </w:rPr>
      </w:pPr>
      <w:r w:rsidRPr="000B19A3">
        <w:rPr>
          <w:rFonts w:asciiTheme="minorHAnsi" w:hAnsiTheme="minorHAnsi" w:cstheme="minorHAnsi"/>
        </w:rPr>
        <w:t xml:space="preserve">copia del prospecto de la vacuna aplicada que provee el fabricante (ley 17250 art. 8). </w:t>
      </w:r>
    </w:p>
    <w:p w:rsidR="00583438" w:rsidRDefault="00583438" w:rsidP="00513EEB">
      <w:pPr>
        <w:pStyle w:val="NormalWeb"/>
        <w:contextualSpacing/>
        <w:jc w:val="both"/>
        <w:rPr>
          <w:rFonts w:asciiTheme="minorHAnsi" w:hAnsiTheme="minorHAnsi" w:cstheme="minorHAnsi"/>
          <w:sz w:val="22"/>
          <w:szCs w:val="22"/>
        </w:rPr>
      </w:pPr>
      <w:r w:rsidRPr="00977A12">
        <w:rPr>
          <w:rFonts w:asciiTheme="minorHAnsi" w:hAnsiTheme="minorHAnsi" w:cstheme="minorHAnsi"/>
          <w:b/>
          <w:sz w:val="22"/>
          <w:szCs w:val="22"/>
          <w:u w:val="single"/>
        </w:rPr>
        <w:t xml:space="preserve">Artículo </w:t>
      </w:r>
      <w:r w:rsidR="00767D7D">
        <w:rPr>
          <w:rFonts w:asciiTheme="minorHAnsi" w:hAnsiTheme="minorHAnsi" w:cstheme="minorHAnsi"/>
          <w:b/>
          <w:sz w:val="22"/>
          <w:szCs w:val="22"/>
          <w:u w:val="single"/>
        </w:rPr>
        <w:t>4</w:t>
      </w:r>
      <w:r w:rsidRPr="00977A12">
        <w:rPr>
          <w:rFonts w:asciiTheme="minorHAnsi" w:hAnsiTheme="minorHAnsi" w:cstheme="minorHAnsi"/>
          <w:b/>
          <w:sz w:val="22"/>
          <w:szCs w:val="22"/>
          <w:u w:val="single"/>
        </w:rPr>
        <w:t>.</w:t>
      </w:r>
      <w:r w:rsidRPr="00977A12">
        <w:rPr>
          <w:rFonts w:asciiTheme="minorHAnsi" w:hAnsiTheme="minorHAnsi" w:cstheme="minorHAnsi"/>
          <w:sz w:val="22"/>
          <w:szCs w:val="22"/>
        </w:rPr>
        <w:t xml:space="preserve"> Comisión </w:t>
      </w:r>
      <w:r w:rsidR="00895329">
        <w:rPr>
          <w:rFonts w:asciiTheme="minorHAnsi" w:hAnsiTheme="minorHAnsi" w:cstheme="minorHAnsi"/>
          <w:sz w:val="22"/>
          <w:szCs w:val="22"/>
        </w:rPr>
        <w:t xml:space="preserve">Nacional </w:t>
      </w:r>
      <w:r w:rsidRPr="00977A12">
        <w:rPr>
          <w:rFonts w:asciiTheme="minorHAnsi" w:hAnsiTheme="minorHAnsi" w:cstheme="minorHAnsi"/>
          <w:sz w:val="22"/>
          <w:szCs w:val="22"/>
        </w:rPr>
        <w:t>Asesora en Vacunas (C</w:t>
      </w:r>
      <w:r w:rsidR="00895329">
        <w:rPr>
          <w:rFonts w:asciiTheme="minorHAnsi" w:hAnsiTheme="minorHAnsi" w:cstheme="minorHAnsi"/>
          <w:sz w:val="22"/>
          <w:szCs w:val="22"/>
        </w:rPr>
        <w:t>N</w:t>
      </w:r>
      <w:r w:rsidRPr="00977A12">
        <w:rPr>
          <w:rFonts w:asciiTheme="minorHAnsi" w:hAnsiTheme="minorHAnsi" w:cstheme="minorHAnsi"/>
          <w:sz w:val="22"/>
          <w:szCs w:val="22"/>
        </w:rPr>
        <w:t>AV).</w:t>
      </w:r>
    </w:p>
    <w:p w:rsidR="00513EEB" w:rsidRPr="00977A12" w:rsidRDefault="00513EEB" w:rsidP="00513EEB">
      <w:pPr>
        <w:pStyle w:val="NormalWeb"/>
        <w:contextualSpacing/>
        <w:jc w:val="both"/>
        <w:rPr>
          <w:rFonts w:asciiTheme="minorHAnsi" w:hAnsiTheme="minorHAnsi" w:cstheme="minorHAnsi"/>
          <w:sz w:val="22"/>
          <w:szCs w:val="22"/>
        </w:rPr>
      </w:pPr>
    </w:p>
    <w:p w:rsidR="00583438" w:rsidRDefault="00583438" w:rsidP="00583438">
      <w:pPr>
        <w:pStyle w:val="NormalWeb"/>
        <w:contextualSpacing/>
        <w:jc w:val="both"/>
        <w:rPr>
          <w:rFonts w:asciiTheme="minorHAnsi" w:hAnsiTheme="minorHAnsi" w:cstheme="minorHAnsi"/>
          <w:color w:val="000000"/>
          <w:sz w:val="22"/>
          <w:szCs w:val="22"/>
        </w:rPr>
      </w:pPr>
      <w:r w:rsidRPr="00977A12">
        <w:rPr>
          <w:rFonts w:asciiTheme="minorHAnsi" w:hAnsiTheme="minorHAnsi" w:cstheme="minorHAnsi"/>
          <w:color w:val="000000"/>
          <w:sz w:val="22"/>
          <w:szCs w:val="22"/>
        </w:rPr>
        <w:t>A la C</w:t>
      </w:r>
      <w:r w:rsidR="00895329">
        <w:rPr>
          <w:rFonts w:asciiTheme="minorHAnsi" w:hAnsiTheme="minorHAnsi" w:cstheme="minorHAnsi"/>
          <w:color w:val="000000"/>
          <w:sz w:val="22"/>
          <w:szCs w:val="22"/>
        </w:rPr>
        <w:t>NAV</w:t>
      </w:r>
      <w:r w:rsidRPr="00977A12">
        <w:rPr>
          <w:rFonts w:asciiTheme="minorHAnsi" w:hAnsiTheme="minorHAnsi" w:cstheme="minorHAnsi"/>
          <w:color w:val="000000"/>
          <w:sz w:val="22"/>
          <w:szCs w:val="22"/>
        </w:rPr>
        <w:t xml:space="preserve"> se deberá integrar </w:t>
      </w:r>
      <w:r w:rsidR="00895329">
        <w:rPr>
          <w:rFonts w:asciiTheme="minorHAnsi" w:hAnsiTheme="minorHAnsi" w:cstheme="minorHAnsi"/>
          <w:color w:val="000000"/>
          <w:sz w:val="22"/>
          <w:szCs w:val="22"/>
        </w:rPr>
        <w:t xml:space="preserve">cualquier organización en </w:t>
      </w:r>
      <w:r w:rsidRPr="00977A12">
        <w:rPr>
          <w:rFonts w:asciiTheme="minorHAnsi" w:hAnsiTheme="minorHAnsi" w:cstheme="minorHAnsi"/>
          <w:color w:val="000000"/>
          <w:sz w:val="22"/>
          <w:szCs w:val="22"/>
        </w:rPr>
        <w:t xml:space="preserve">representación de </w:t>
      </w:r>
      <w:r w:rsidR="00895329">
        <w:rPr>
          <w:rFonts w:asciiTheme="minorHAnsi" w:hAnsiTheme="minorHAnsi" w:cstheme="minorHAnsi"/>
          <w:color w:val="000000"/>
          <w:sz w:val="22"/>
          <w:szCs w:val="22"/>
        </w:rPr>
        <w:t>la ciudadanía que lo solicite</w:t>
      </w:r>
      <w:r w:rsidR="00F0674B">
        <w:rPr>
          <w:rFonts w:asciiTheme="minorHAnsi" w:hAnsiTheme="minorHAnsi" w:cstheme="minorHAnsi"/>
          <w:color w:val="000000"/>
          <w:sz w:val="22"/>
          <w:szCs w:val="22"/>
        </w:rPr>
        <w:t xml:space="preserve">, </w:t>
      </w:r>
      <w:r w:rsidR="00F0674B" w:rsidRPr="00977A12">
        <w:rPr>
          <w:rFonts w:asciiTheme="minorHAnsi" w:hAnsiTheme="minorHAnsi" w:cstheme="minorHAnsi"/>
          <w:color w:val="000000"/>
          <w:sz w:val="22"/>
          <w:szCs w:val="22"/>
        </w:rPr>
        <w:t>con voz y voto</w:t>
      </w:r>
      <w:r w:rsidR="00F0674B">
        <w:rPr>
          <w:rFonts w:asciiTheme="minorHAnsi" w:hAnsiTheme="minorHAnsi" w:cstheme="minorHAnsi"/>
          <w:color w:val="000000"/>
          <w:sz w:val="22"/>
          <w:szCs w:val="22"/>
        </w:rPr>
        <w:t xml:space="preserve"> en todas y </w:t>
      </w:r>
      <w:r w:rsidR="003F5494">
        <w:rPr>
          <w:rFonts w:asciiTheme="minorHAnsi" w:hAnsiTheme="minorHAnsi" w:cstheme="minorHAnsi"/>
          <w:color w:val="000000"/>
          <w:sz w:val="22"/>
          <w:szCs w:val="22"/>
        </w:rPr>
        <w:t xml:space="preserve">cada una de las reuniones que </w:t>
      </w:r>
      <w:r w:rsidR="00F0674B">
        <w:rPr>
          <w:rFonts w:asciiTheme="minorHAnsi" w:hAnsiTheme="minorHAnsi" w:cstheme="minorHAnsi"/>
          <w:color w:val="000000"/>
          <w:sz w:val="22"/>
          <w:szCs w:val="22"/>
        </w:rPr>
        <w:t>la</w:t>
      </w:r>
      <w:r w:rsidR="003F5494">
        <w:rPr>
          <w:rFonts w:asciiTheme="minorHAnsi" w:hAnsiTheme="minorHAnsi" w:cstheme="minorHAnsi"/>
          <w:color w:val="000000"/>
          <w:sz w:val="22"/>
          <w:szCs w:val="22"/>
        </w:rPr>
        <w:t xml:space="preserve"> CNAV</w:t>
      </w:r>
      <w:r w:rsidR="00F0674B">
        <w:rPr>
          <w:rFonts w:asciiTheme="minorHAnsi" w:hAnsiTheme="minorHAnsi" w:cstheme="minorHAnsi"/>
          <w:color w:val="000000"/>
          <w:sz w:val="22"/>
          <w:szCs w:val="22"/>
        </w:rPr>
        <w:t xml:space="preserve"> convoque</w:t>
      </w:r>
      <w:r w:rsidRPr="00977A1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00AA3DC7" w:rsidRDefault="00801EE3" w:rsidP="00FC74AC">
      <w:pPr>
        <w:spacing w:after="100" w:afterAutospacing="1" w:line="240" w:lineRule="auto"/>
        <w:contextualSpacing/>
        <w:jc w:val="both"/>
        <w:rPr>
          <w:rFonts w:cstheme="minorHAnsi"/>
        </w:rPr>
      </w:pPr>
      <w:r w:rsidRPr="00A30363">
        <w:rPr>
          <w:b/>
          <w:u w:val="single"/>
        </w:rPr>
        <w:t xml:space="preserve">Artículo </w:t>
      </w:r>
      <w:r w:rsidR="00767D7D">
        <w:rPr>
          <w:b/>
          <w:u w:val="single"/>
        </w:rPr>
        <w:t>5</w:t>
      </w:r>
      <w:r>
        <w:rPr>
          <w:rFonts w:cstheme="minorHAnsi"/>
        </w:rPr>
        <w:t xml:space="preserve">: </w:t>
      </w:r>
      <w:r w:rsidR="00AA3DC7">
        <w:rPr>
          <w:rFonts w:cstheme="minorHAnsi"/>
        </w:rPr>
        <w:t>Armonización.</w:t>
      </w:r>
    </w:p>
    <w:p w:rsidR="00513EEB" w:rsidRDefault="00513EEB" w:rsidP="00FC74AC">
      <w:pPr>
        <w:spacing w:after="100" w:afterAutospacing="1" w:line="240" w:lineRule="auto"/>
        <w:contextualSpacing/>
        <w:jc w:val="both"/>
        <w:rPr>
          <w:rFonts w:cstheme="minorHAnsi"/>
        </w:rPr>
      </w:pPr>
    </w:p>
    <w:p w:rsidR="00801EE3" w:rsidRDefault="009703CA" w:rsidP="00FC74AC">
      <w:pPr>
        <w:spacing w:after="100" w:afterAutospacing="1" w:line="240" w:lineRule="auto"/>
        <w:contextualSpacing/>
        <w:jc w:val="both"/>
        <w:rPr>
          <w:rFonts w:cstheme="minorHAnsi"/>
        </w:rPr>
      </w:pPr>
      <w:proofErr w:type="spellStart"/>
      <w:r w:rsidRPr="00801EE3">
        <w:rPr>
          <w:rFonts w:cstheme="minorHAnsi"/>
        </w:rPr>
        <w:t>Deroga</w:t>
      </w:r>
      <w:r>
        <w:rPr>
          <w:rFonts w:cstheme="minorHAnsi"/>
        </w:rPr>
        <w:t>n</w:t>
      </w:r>
      <w:r w:rsidRPr="00801EE3">
        <w:rPr>
          <w:rFonts w:cstheme="minorHAnsi"/>
        </w:rPr>
        <w:t>se</w:t>
      </w:r>
      <w:proofErr w:type="spellEnd"/>
      <w:r w:rsidR="00801EE3" w:rsidRPr="00801EE3">
        <w:rPr>
          <w:rFonts w:cstheme="minorHAnsi"/>
        </w:rPr>
        <w:t xml:space="preserve"> todas las disposiciones contrarias a lo dispuesto en la pre</w:t>
      </w:r>
      <w:r w:rsidR="00C7750D">
        <w:rPr>
          <w:rFonts w:cstheme="minorHAnsi"/>
        </w:rPr>
        <w:t>sente ley</w:t>
      </w:r>
      <w:r w:rsidR="00801EE3" w:rsidRPr="00801EE3">
        <w:rPr>
          <w:rFonts w:cstheme="minorHAnsi"/>
        </w:rPr>
        <w:t>.</w:t>
      </w:r>
    </w:p>
    <w:p w:rsidR="00C75122" w:rsidRPr="00C80840" w:rsidRDefault="00C75122" w:rsidP="00FC74AC">
      <w:pPr>
        <w:spacing w:after="100" w:afterAutospacing="1" w:line="240" w:lineRule="auto"/>
        <w:contextualSpacing/>
        <w:jc w:val="both"/>
        <w:rPr>
          <w:rFonts w:cstheme="minorHAnsi"/>
        </w:rPr>
      </w:pPr>
    </w:p>
    <w:p w:rsidR="00FE56B0" w:rsidRDefault="00FE56B0" w:rsidP="00FC74AC">
      <w:pPr>
        <w:spacing w:after="100" w:afterAutospacing="1" w:line="240" w:lineRule="auto"/>
        <w:contextualSpacing/>
        <w:jc w:val="both"/>
      </w:pPr>
    </w:p>
    <w:sectPr w:rsidR="00FE56B0" w:rsidSect="005D1579">
      <w:headerReference w:type="default" r:id="rId8"/>
      <w:footerReference w:type="default" r:id="rId9"/>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37" w:rsidRDefault="00040F37" w:rsidP="00A5379D">
      <w:pPr>
        <w:spacing w:after="0" w:line="240" w:lineRule="auto"/>
      </w:pPr>
      <w:r>
        <w:separator/>
      </w:r>
    </w:p>
  </w:endnote>
  <w:endnote w:type="continuationSeparator" w:id="0">
    <w:p w:rsidR="00040F37" w:rsidRDefault="00040F37" w:rsidP="00A5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altName w:val="Ink Free"/>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43" w:rsidRDefault="002757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37" w:rsidRDefault="00040F37" w:rsidP="00A5379D">
      <w:pPr>
        <w:spacing w:after="0" w:line="240" w:lineRule="auto"/>
      </w:pPr>
      <w:r>
        <w:separator/>
      </w:r>
    </w:p>
  </w:footnote>
  <w:footnote w:type="continuationSeparator" w:id="0">
    <w:p w:rsidR="00040F37" w:rsidRDefault="00040F37" w:rsidP="00A5379D">
      <w:pPr>
        <w:spacing w:after="0" w:line="240" w:lineRule="auto"/>
      </w:pPr>
      <w:r>
        <w:continuationSeparator/>
      </w:r>
    </w:p>
  </w:footnote>
  <w:footnote w:id="1">
    <w:p w:rsidR="00965EC9" w:rsidRPr="00CA41A9" w:rsidRDefault="00965EC9" w:rsidP="00767D7D">
      <w:pPr>
        <w:spacing w:after="120" w:line="240" w:lineRule="auto"/>
        <w:contextualSpacing/>
        <w:rPr>
          <w:sz w:val="20"/>
          <w:szCs w:val="20"/>
        </w:rPr>
      </w:pPr>
      <w:r>
        <w:rPr>
          <w:rStyle w:val="Refdenotaalpie"/>
        </w:rPr>
        <w:footnoteRef/>
      </w:r>
      <w:hyperlink r:id="rId1" w:history="1">
        <w:r w:rsidRPr="00CA41A9">
          <w:rPr>
            <w:rStyle w:val="Hipervnculo"/>
            <w:sz w:val="20"/>
            <w:szCs w:val="20"/>
          </w:rPr>
          <w:t>http://apps.who.int/immunization_monitoring/globalsummary/countries?countrycriteria%5Bcountry%5D%5B%5D=URY&amp;commit=OK</w:t>
        </w:r>
      </w:hyperlink>
    </w:p>
  </w:footnote>
  <w:footnote w:id="2">
    <w:p w:rsidR="00FA03A4" w:rsidRPr="00CA41A9" w:rsidRDefault="00FA03A4" w:rsidP="00CA41A9">
      <w:pPr>
        <w:spacing w:after="0" w:line="240" w:lineRule="auto"/>
        <w:contextualSpacing/>
        <w:rPr>
          <w:sz w:val="20"/>
          <w:szCs w:val="20"/>
        </w:rPr>
      </w:pPr>
      <w:r w:rsidRPr="00CA41A9">
        <w:rPr>
          <w:rStyle w:val="Refdenotaalpie"/>
          <w:sz w:val="20"/>
          <w:szCs w:val="20"/>
        </w:rPr>
        <w:footnoteRef/>
      </w:r>
      <w:r w:rsidRPr="00CA41A9">
        <w:rPr>
          <w:sz w:val="20"/>
          <w:szCs w:val="20"/>
        </w:rPr>
        <w:t xml:space="preserve"> </w:t>
      </w:r>
      <w:hyperlink r:id="rId2" w:history="1">
        <w:r w:rsidRPr="00CA41A9">
          <w:rPr>
            <w:rStyle w:val="Hipervnculo"/>
            <w:sz w:val="20"/>
            <w:szCs w:val="20"/>
          </w:rPr>
          <w:t>https://www.gub.uy/ministerio-salud-publica/comunicacion/publicaciones/vigilancia-de-efecto-adverso-supuestamente-atribuibles-la-vacunacion-e</w:t>
        </w:r>
      </w:hyperlink>
      <w:r w:rsidRPr="00CA41A9">
        <w:rPr>
          <w:rFonts w:cstheme="minorHAnsi"/>
          <w:sz w:val="20"/>
          <w:szCs w:val="20"/>
        </w:rPr>
        <w:t xml:space="preserve"> </w:t>
      </w:r>
    </w:p>
  </w:footnote>
  <w:footnote w:id="3">
    <w:p w:rsidR="00FA03A4" w:rsidRPr="00965EC9" w:rsidRDefault="00FA03A4" w:rsidP="00CA41A9">
      <w:pPr>
        <w:spacing w:after="0" w:line="240" w:lineRule="auto"/>
        <w:contextualSpacing/>
      </w:pPr>
      <w:r w:rsidRPr="00CA41A9">
        <w:rPr>
          <w:rStyle w:val="Refdenotaalpie"/>
          <w:sz w:val="20"/>
          <w:szCs w:val="20"/>
        </w:rPr>
        <w:footnoteRef/>
      </w:r>
      <w:r w:rsidRPr="00CA41A9">
        <w:rPr>
          <w:sz w:val="20"/>
          <w:szCs w:val="20"/>
        </w:rPr>
        <w:t xml:space="preserve"> </w:t>
      </w:r>
      <w:hyperlink r:id="rId3" w:history="1">
        <w:r w:rsidRPr="00CA41A9">
          <w:rPr>
            <w:rStyle w:val="Hipervnculo"/>
            <w:sz w:val="20"/>
            <w:szCs w:val="20"/>
          </w:rPr>
          <w:t>https://www.gub.uy/ministerio-salud-publica/comunicacion/publicaciones/prospectos-de-las-vacunas-incluidas-en-el-certificado-esquema-de</w:t>
        </w:r>
      </w:hyperlink>
    </w:p>
  </w:footnote>
  <w:footnote w:id="4">
    <w:p w:rsidR="00965EC9" w:rsidRPr="00CA41A9" w:rsidRDefault="00965EC9" w:rsidP="00CA41A9">
      <w:pPr>
        <w:spacing w:after="0" w:line="240" w:lineRule="auto"/>
        <w:contextualSpacing/>
        <w:rPr>
          <w:sz w:val="20"/>
          <w:szCs w:val="20"/>
        </w:rPr>
      </w:pPr>
      <w:r w:rsidRPr="00CA41A9">
        <w:rPr>
          <w:rStyle w:val="Refdenotaalpie"/>
          <w:sz w:val="20"/>
          <w:szCs w:val="20"/>
        </w:rPr>
        <w:footnoteRef/>
      </w:r>
      <w:r w:rsidRPr="00CA41A9">
        <w:rPr>
          <w:sz w:val="20"/>
          <w:szCs w:val="20"/>
        </w:rPr>
        <w:t xml:space="preserve"> </w:t>
      </w:r>
      <w:hyperlink r:id="rId4" w:history="1">
        <w:r w:rsidRPr="00CA41A9">
          <w:rPr>
            <w:rStyle w:val="Hipervnculo"/>
            <w:sz w:val="20"/>
            <w:szCs w:val="20"/>
          </w:rPr>
          <w:t>https://www.gub.uy/ministerio-salud-publica/comunicacion/publicaciones/vigilancia-de-efecto-adverso-supuestamente-atribuibles-la-vacunacion-e</w:t>
        </w:r>
      </w:hyperlink>
      <w:r w:rsidRPr="00CA41A9">
        <w:rPr>
          <w:rFonts w:cstheme="minorHAnsi"/>
          <w:sz w:val="20"/>
          <w:szCs w:val="20"/>
        </w:rPr>
        <w:t xml:space="preserve"> </w:t>
      </w:r>
    </w:p>
  </w:footnote>
  <w:footnote w:id="5">
    <w:p w:rsidR="00965EC9" w:rsidRPr="00CA41A9" w:rsidRDefault="00965EC9" w:rsidP="00767D7D">
      <w:pPr>
        <w:spacing w:after="120" w:line="240" w:lineRule="auto"/>
        <w:contextualSpacing/>
        <w:rPr>
          <w:rFonts w:cstheme="minorHAnsi"/>
          <w:sz w:val="20"/>
          <w:szCs w:val="20"/>
        </w:rPr>
      </w:pPr>
      <w:r w:rsidRPr="00CA41A9">
        <w:rPr>
          <w:rStyle w:val="Refdenotaalpie"/>
          <w:sz w:val="20"/>
          <w:szCs w:val="20"/>
        </w:rPr>
        <w:footnoteRef/>
      </w:r>
      <w:r w:rsidRPr="00CA41A9">
        <w:rPr>
          <w:sz w:val="20"/>
          <w:szCs w:val="20"/>
        </w:rPr>
        <w:t>https://www.gub.uy/ministerio-salud-publica/sites/ministerio-salud-</w:t>
      </w:r>
      <w:hyperlink r:id="rId5" w:history="1">
        <w:r w:rsidRPr="00CA41A9">
          <w:rPr>
            <w:rStyle w:val="Hipervnculo"/>
            <w:rFonts w:cstheme="minorHAnsi"/>
            <w:sz w:val="20"/>
            <w:szCs w:val="20"/>
          </w:rPr>
          <w:t>publica/files/documentos/publicaciones/informe_anual_ESAVI_2019_para_publicar%20%289%29.pdf</w:t>
        </w:r>
      </w:hyperlink>
    </w:p>
  </w:footnote>
  <w:footnote w:id="6">
    <w:p w:rsidR="00EF72C7" w:rsidRPr="00767D7D" w:rsidRDefault="00EF72C7" w:rsidP="00767D7D">
      <w:pPr>
        <w:pStyle w:val="Textonotapie"/>
        <w:ind w:right="113"/>
        <w:contextualSpacing/>
        <w:rPr>
          <w:rFonts w:asciiTheme="minorHAnsi" w:hAnsiTheme="minorHAnsi" w:cstheme="minorHAnsi"/>
        </w:rPr>
      </w:pPr>
      <w:r w:rsidRPr="00767D7D">
        <w:rPr>
          <w:rStyle w:val="Refdenotaalpie"/>
          <w:rFonts w:asciiTheme="minorHAnsi" w:hAnsiTheme="minorHAnsi" w:cstheme="minorHAnsi"/>
        </w:rPr>
        <w:footnoteRef/>
      </w:r>
      <w:r w:rsidRPr="00767D7D">
        <w:rPr>
          <w:rFonts w:asciiTheme="minorHAnsi" w:hAnsiTheme="minorHAnsi" w:cstheme="minorHAnsi"/>
        </w:rPr>
        <w:t xml:space="preserve"> http://www.scielo.edu.uy/scielo.php?script=sci_arttext&amp;pid=S1688-12492013000100002</w:t>
      </w:r>
    </w:p>
  </w:footnote>
  <w:footnote w:id="7">
    <w:p w:rsidR="000210D9" w:rsidRPr="00767D7D" w:rsidRDefault="000210D9" w:rsidP="00767D7D">
      <w:pPr>
        <w:pStyle w:val="Textonotapie"/>
        <w:ind w:right="113"/>
        <w:contextualSpacing/>
        <w:rPr>
          <w:rFonts w:asciiTheme="minorHAnsi" w:hAnsiTheme="minorHAnsi" w:cstheme="minorHAnsi"/>
          <w:lang w:val="es-UY"/>
        </w:rPr>
      </w:pPr>
      <w:r w:rsidRPr="00767D7D">
        <w:rPr>
          <w:rStyle w:val="Refdenotaalpie"/>
          <w:rFonts w:asciiTheme="minorHAnsi" w:hAnsiTheme="minorHAnsi" w:cstheme="minorHAnsi"/>
        </w:rPr>
        <w:footnoteRef/>
      </w:r>
      <w:r w:rsidR="00061411" w:rsidRPr="00767D7D">
        <w:rPr>
          <w:rStyle w:val="Hipervnculo"/>
          <w:rFonts w:asciiTheme="minorHAnsi" w:hAnsiTheme="minorHAnsi" w:cstheme="minorHAnsi"/>
          <w:lang w:val="es-UY"/>
        </w:rPr>
        <w:t>https://apps.who.int/iris/bitstream/handle/10665/270902/PMC3</w:t>
      </w:r>
      <w:r w:rsidR="007A7B2F" w:rsidRPr="00767D7D">
        <w:rPr>
          <w:rStyle w:val="Hipervnculo"/>
          <w:rFonts w:asciiTheme="minorHAnsi" w:hAnsiTheme="minorHAnsi" w:cstheme="minorHAnsi"/>
          <w:lang w:val="es-UY"/>
        </w:rPr>
        <w:t>089384.pdf</w:t>
      </w:r>
    </w:p>
  </w:footnote>
  <w:footnote w:id="8">
    <w:p w:rsidR="003A0055" w:rsidRDefault="003A0055" w:rsidP="00767D7D">
      <w:pPr>
        <w:pStyle w:val="Textonotapie"/>
        <w:spacing w:after="100" w:afterAutospacing="1"/>
        <w:ind w:right="113"/>
        <w:contextualSpacing/>
      </w:pPr>
      <w:r w:rsidRPr="00767D7D">
        <w:rPr>
          <w:rStyle w:val="Refdenotaalpie"/>
          <w:rFonts w:asciiTheme="minorHAnsi" w:hAnsiTheme="minorHAnsi" w:cstheme="minorHAnsi"/>
        </w:rPr>
        <w:footnoteRef/>
      </w:r>
      <w:r w:rsidRPr="00767D7D">
        <w:rPr>
          <w:rFonts w:asciiTheme="minorHAnsi" w:hAnsiTheme="minorHAnsi" w:cstheme="minorHAnsi"/>
        </w:rPr>
        <w:t xml:space="preserve"> https://www.gub.uy/ministerio-salud-publica/sites/ministerio-salud-publica/files/documentos/publicaciones/manual_operativo_cnav_2019.pdf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43" w:rsidRPr="00275743" w:rsidRDefault="00275743" w:rsidP="00275743">
    <w:pPr>
      <w:pStyle w:val="Piedepgina"/>
      <w:rPr>
        <w:rFonts w:ascii="Bradley Hand ITC" w:hAnsi="Bradley Hand IT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AB3"/>
    <w:multiLevelType w:val="hybridMultilevel"/>
    <w:tmpl w:val="D370FC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12657"/>
    <w:multiLevelType w:val="hybridMultilevel"/>
    <w:tmpl w:val="A7EEE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F1196"/>
    <w:multiLevelType w:val="hybridMultilevel"/>
    <w:tmpl w:val="5C84B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7425C"/>
    <w:multiLevelType w:val="hybridMultilevel"/>
    <w:tmpl w:val="CAFE26E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A574EE6"/>
    <w:multiLevelType w:val="multilevel"/>
    <w:tmpl w:val="032C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67C8F"/>
    <w:multiLevelType w:val="multilevel"/>
    <w:tmpl w:val="AD7A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D6B8D"/>
    <w:multiLevelType w:val="hybridMultilevel"/>
    <w:tmpl w:val="C88E7B02"/>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24939F7"/>
    <w:multiLevelType w:val="hybridMultilevel"/>
    <w:tmpl w:val="D0E8F838"/>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7716F09"/>
    <w:multiLevelType w:val="multilevel"/>
    <w:tmpl w:val="09F0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E7549"/>
    <w:multiLevelType w:val="multilevel"/>
    <w:tmpl w:val="91E0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9293A"/>
    <w:multiLevelType w:val="hybridMultilevel"/>
    <w:tmpl w:val="AA4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A485E"/>
    <w:multiLevelType w:val="hybridMultilevel"/>
    <w:tmpl w:val="22928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31243C"/>
    <w:multiLevelType w:val="hybridMultilevel"/>
    <w:tmpl w:val="96D271FE"/>
    <w:lvl w:ilvl="0" w:tplc="580A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11"/>
  </w:num>
  <w:num w:numId="5">
    <w:abstractNumId w:val="1"/>
  </w:num>
  <w:num w:numId="6">
    <w:abstractNumId w:val="9"/>
  </w:num>
  <w:num w:numId="7">
    <w:abstractNumId w:val="4"/>
  </w:num>
  <w:num w:numId="8">
    <w:abstractNumId w:val="8"/>
  </w:num>
  <w:num w:numId="9">
    <w:abstractNumId w:val="5"/>
  </w:num>
  <w:num w:numId="10">
    <w:abstractNumId w:val="3"/>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B0"/>
    <w:rsid w:val="000210D9"/>
    <w:rsid w:val="0003177F"/>
    <w:rsid w:val="00040F37"/>
    <w:rsid w:val="00044764"/>
    <w:rsid w:val="00047443"/>
    <w:rsid w:val="00061411"/>
    <w:rsid w:val="0007146E"/>
    <w:rsid w:val="00071CA5"/>
    <w:rsid w:val="0007285A"/>
    <w:rsid w:val="00086094"/>
    <w:rsid w:val="00090ED8"/>
    <w:rsid w:val="000B19A3"/>
    <w:rsid w:val="000E361B"/>
    <w:rsid w:val="000F0575"/>
    <w:rsid w:val="0011081D"/>
    <w:rsid w:val="00136FF0"/>
    <w:rsid w:val="00137EA0"/>
    <w:rsid w:val="00142D41"/>
    <w:rsid w:val="0015134B"/>
    <w:rsid w:val="001676DA"/>
    <w:rsid w:val="00175E3E"/>
    <w:rsid w:val="001B356F"/>
    <w:rsid w:val="001C1D25"/>
    <w:rsid w:val="001C32E7"/>
    <w:rsid w:val="001C3AAB"/>
    <w:rsid w:val="001C475B"/>
    <w:rsid w:val="001D0684"/>
    <w:rsid w:val="001D11C4"/>
    <w:rsid w:val="001F7ABC"/>
    <w:rsid w:val="0020725F"/>
    <w:rsid w:val="00226ACC"/>
    <w:rsid w:val="00244ECE"/>
    <w:rsid w:val="002607DC"/>
    <w:rsid w:val="00262956"/>
    <w:rsid w:val="00264CF3"/>
    <w:rsid w:val="00271E67"/>
    <w:rsid w:val="00275743"/>
    <w:rsid w:val="00280724"/>
    <w:rsid w:val="0029259C"/>
    <w:rsid w:val="002B2C43"/>
    <w:rsid w:val="002C5E57"/>
    <w:rsid w:val="00321AF9"/>
    <w:rsid w:val="00326184"/>
    <w:rsid w:val="00335321"/>
    <w:rsid w:val="0033594C"/>
    <w:rsid w:val="003405A4"/>
    <w:rsid w:val="00354C08"/>
    <w:rsid w:val="00372190"/>
    <w:rsid w:val="00374863"/>
    <w:rsid w:val="00376B68"/>
    <w:rsid w:val="00377EE4"/>
    <w:rsid w:val="0039582D"/>
    <w:rsid w:val="003A0055"/>
    <w:rsid w:val="003A073A"/>
    <w:rsid w:val="003A3C9B"/>
    <w:rsid w:val="003C2AB3"/>
    <w:rsid w:val="003D177D"/>
    <w:rsid w:val="003E7A2B"/>
    <w:rsid w:val="003F5494"/>
    <w:rsid w:val="00430FF7"/>
    <w:rsid w:val="00453863"/>
    <w:rsid w:val="00464A51"/>
    <w:rsid w:val="00467E6F"/>
    <w:rsid w:val="00490234"/>
    <w:rsid w:val="00496E06"/>
    <w:rsid w:val="004A1337"/>
    <w:rsid w:val="004A177A"/>
    <w:rsid w:val="004B5F98"/>
    <w:rsid w:val="004F4481"/>
    <w:rsid w:val="0051172F"/>
    <w:rsid w:val="00513EEB"/>
    <w:rsid w:val="00555987"/>
    <w:rsid w:val="0056501B"/>
    <w:rsid w:val="005656DD"/>
    <w:rsid w:val="00575761"/>
    <w:rsid w:val="00583438"/>
    <w:rsid w:val="005C6FB1"/>
    <w:rsid w:val="005D1579"/>
    <w:rsid w:val="005D7A32"/>
    <w:rsid w:val="005E074D"/>
    <w:rsid w:val="006014AE"/>
    <w:rsid w:val="00604F49"/>
    <w:rsid w:val="006050C8"/>
    <w:rsid w:val="00620807"/>
    <w:rsid w:val="006321A3"/>
    <w:rsid w:val="00641EAF"/>
    <w:rsid w:val="00663167"/>
    <w:rsid w:val="00680F80"/>
    <w:rsid w:val="006A253B"/>
    <w:rsid w:val="006B4679"/>
    <w:rsid w:val="006D5997"/>
    <w:rsid w:val="006F69D4"/>
    <w:rsid w:val="0070531B"/>
    <w:rsid w:val="007138EC"/>
    <w:rsid w:val="00716B1E"/>
    <w:rsid w:val="007279AE"/>
    <w:rsid w:val="00730C32"/>
    <w:rsid w:val="0074516B"/>
    <w:rsid w:val="00752E37"/>
    <w:rsid w:val="00767D7D"/>
    <w:rsid w:val="00774808"/>
    <w:rsid w:val="007756A4"/>
    <w:rsid w:val="007844BD"/>
    <w:rsid w:val="007A7B2F"/>
    <w:rsid w:val="007D6353"/>
    <w:rsid w:val="007D7AA7"/>
    <w:rsid w:val="00800290"/>
    <w:rsid w:val="00801E82"/>
    <w:rsid w:val="00801EE3"/>
    <w:rsid w:val="00804B18"/>
    <w:rsid w:val="00807154"/>
    <w:rsid w:val="0081079D"/>
    <w:rsid w:val="008207C9"/>
    <w:rsid w:val="00861F07"/>
    <w:rsid w:val="00863542"/>
    <w:rsid w:val="00863A1B"/>
    <w:rsid w:val="00864B72"/>
    <w:rsid w:val="008667D0"/>
    <w:rsid w:val="008828CA"/>
    <w:rsid w:val="008866AC"/>
    <w:rsid w:val="00895329"/>
    <w:rsid w:val="008966C0"/>
    <w:rsid w:val="008A5228"/>
    <w:rsid w:val="008B47A6"/>
    <w:rsid w:val="008C13C8"/>
    <w:rsid w:val="008D79BC"/>
    <w:rsid w:val="008E63BE"/>
    <w:rsid w:val="00923503"/>
    <w:rsid w:val="00925229"/>
    <w:rsid w:val="009271D4"/>
    <w:rsid w:val="00931B22"/>
    <w:rsid w:val="00933376"/>
    <w:rsid w:val="00965EC9"/>
    <w:rsid w:val="009703CA"/>
    <w:rsid w:val="00977A12"/>
    <w:rsid w:val="00986C4E"/>
    <w:rsid w:val="00986DC1"/>
    <w:rsid w:val="009F7DB6"/>
    <w:rsid w:val="00A05FBD"/>
    <w:rsid w:val="00A30363"/>
    <w:rsid w:val="00A466F5"/>
    <w:rsid w:val="00A5379D"/>
    <w:rsid w:val="00A6687B"/>
    <w:rsid w:val="00A75C6D"/>
    <w:rsid w:val="00AA3DC7"/>
    <w:rsid w:val="00AD00CA"/>
    <w:rsid w:val="00AD62A5"/>
    <w:rsid w:val="00AF0432"/>
    <w:rsid w:val="00B102B1"/>
    <w:rsid w:val="00B5342D"/>
    <w:rsid w:val="00B64CD9"/>
    <w:rsid w:val="00B65193"/>
    <w:rsid w:val="00B803DB"/>
    <w:rsid w:val="00B80FBE"/>
    <w:rsid w:val="00B95803"/>
    <w:rsid w:val="00BA73FF"/>
    <w:rsid w:val="00BB5347"/>
    <w:rsid w:val="00BD722D"/>
    <w:rsid w:val="00BE147D"/>
    <w:rsid w:val="00BE5F56"/>
    <w:rsid w:val="00C01413"/>
    <w:rsid w:val="00C10151"/>
    <w:rsid w:val="00C1262D"/>
    <w:rsid w:val="00C1446B"/>
    <w:rsid w:val="00C177AC"/>
    <w:rsid w:val="00C205EE"/>
    <w:rsid w:val="00C20667"/>
    <w:rsid w:val="00C223CE"/>
    <w:rsid w:val="00C31EA5"/>
    <w:rsid w:val="00C42EAB"/>
    <w:rsid w:val="00C728B5"/>
    <w:rsid w:val="00C72D9C"/>
    <w:rsid w:val="00C75122"/>
    <w:rsid w:val="00C7750D"/>
    <w:rsid w:val="00C80840"/>
    <w:rsid w:val="00C959C9"/>
    <w:rsid w:val="00CA41A9"/>
    <w:rsid w:val="00CC2DDC"/>
    <w:rsid w:val="00CC38E4"/>
    <w:rsid w:val="00CD43E1"/>
    <w:rsid w:val="00CF7042"/>
    <w:rsid w:val="00D10C8E"/>
    <w:rsid w:val="00D246A9"/>
    <w:rsid w:val="00D24F40"/>
    <w:rsid w:val="00D34C9A"/>
    <w:rsid w:val="00D404E0"/>
    <w:rsid w:val="00D50100"/>
    <w:rsid w:val="00D84D23"/>
    <w:rsid w:val="00D9088C"/>
    <w:rsid w:val="00D93907"/>
    <w:rsid w:val="00D93D86"/>
    <w:rsid w:val="00DC4E08"/>
    <w:rsid w:val="00DD42BD"/>
    <w:rsid w:val="00DE72B5"/>
    <w:rsid w:val="00DF160F"/>
    <w:rsid w:val="00E03821"/>
    <w:rsid w:val="00E2546D"/>
    <w:rsid w:val="00E31DB5"/>
    <w:rsid w:val="00E72D1F"/>
    <w:rsid w:val="00E817D6"/>
    <w:rsid w:val="00E908EA"/>
    <w:rsid w:val="00E94223"/>
    <w:rsid w:val="00E947DF"/>
    <w:rsid w:val="00E97D80"/>
    <w:rsid w:val="00ED024E"/>
    <w:rsid w:val="00EF72C7"/>
    <w:rsid w:val="00F0674B"/>
    <w:rsid w:val="00F23F3E"/>
    <w:rsid w:val="00F3011D"/>
    <w:rsid w:val="00F44244"/>
    <w:rsid w:val="00F546A8"/>
    <w:rsid w:val="00F649E4"/>
    <w:rsid w:val="00FA03A4"/>
    <w:rsid w:val="00FA7A82"/>
    <w:rsid w:val="00FC42AA"/>
    <w:rsid w:val="00FC74AC"/>
    <w:rsid w:val="00FD13DB"/>
    <w:rsid w:val="00FE04D1"/>
    <w:rsid w:val="00FE56B0"/>
    <w:rsid w:val="00FE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61B25-BA42-4373-902B-474FE20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5379D"/>
    <w:pPr>
      <w:spacing w:after="0" w:line="240" w:lineRule="auto"/>
    </w:pPr>
    <w:rPr>
      <w:rFonts w:ascii="Arial" w:eastAsia="Arial" w:hAnsi="Arial" w:cs="Arial"/>
      <w:sz w:val="20"/>
      <w:szCs w:val="20"/>
    </w:rPr>
  </w:style>
  <w:style w:type="character" w:customStyle="1" w:styleId="TextonotapieCar">
    <w:name w:val="Texto nota pie Car"/>
    <w:basedOn w:val="Fuentedeprrafopredeter"/>
    <w:link w:val="Textonotapie"/>
    <w:uiPriority w:val="99"/>
    <w:rsid w:val="00A5379D"/>
    <w:rPr>
      <w:rFonts w:ascii="Arial" w:eastAsia="Arial" w:hAnsi="Arial" w:cs="Arial"/>
      <w:sz w:val="20"/>
      <w:szCs w:val="20"/>
      <w:lang w:eastAsia="es-ES"/>
    </w:rPr>
  </w:style>
  <w:style w:type="character" w:styleId="Refdenotaalpie">
    <w:name w:val="footnote reference"/>
    <w:basedOn w:val="Fuentedeprrafopredeter"/>
    <w:uiPriority w:val="99"/>
    <w:semiHidden/>
    <w:unhideWhenUsed/>
    <w:rsid w:val="00A5379D"/>
    <w:rPr>
      <w:vertAlign w:val="superscript"/>
    </w:rPr>
  </w:style>
  <w:style w:type="character" w:styleId="Hipervnculo">
    <w:name w:val="Hyperlink"/>
    <w:basedOn w:val="Fuentedeprrafopredeter"/>
    <w:uiPriority w:val="99"/>
    <w:unhideWhenUsed/>
    <w:rsid w:val="00A5379D"/>
    <w:rPr>
      <w:color w:val="0000FF" w:themeColor="hyperlink"/>
      <w:u w:val="single"/>
    </w:rPr>
  </w:style>
  <w:style w:type="paragraph" w:styleId="Prrafodelista">
    <w:name w:val="List Paragraph"/>
    <w:basedOn w:val="Normal"/>
    <w:uiPriority w:val="34"/>
    <w:qFormat/>
    <w:rsid w:val="00A5379D"/>
    <w:pPr>
      <w:spacing w:after="0"/>
      <w:ind w:left="720"/>
      <w:contextualSpacing/>
    </w:pPr>
    <w:rPr>
      <w:rFonts w:ascii="Arial" w:eastAsia="Arial" w:hAnsi="Arial" w:cs="Arial"/>
    </w:rPr>
  </w:style>
  <w:style w:type="character" w:styleId="Hipervnculovisitado">
    <w:name w:val="FollowedHyperlink"/>
    <w:basedOn w:val="Fuentedeprrafopredeter"/>
    <w:uiPriority w:val="99"/>
    <w:semiHidden/>
    <w:unhideWhenUsed/>
    <w:rsid w:val="00D93907"/>
    <w:rPr>
      <w:color w:val="800080" w:themeColor="followedHyperlink"/>
      <w:u w:val="single"/>
    </w:rPr>
  </w:style>
  <w:style w:type="paragraph" w:styleId="Textoindependiente">
    <w:name w:val="Body Text"/>
    <w:basedOn w:val="Normal"/>
    <w:link w:val="TextoindependienteCar"/>
    <w:uiPriority w:val="1"/>
    <w:qFormat/>
    <w:rsid w:val="00B803DB"/>
    <w:pPr>
      <w:widowControl w:val="0"/>
      <w:autoSpaceDE w:val="0"/>
      <w:autoSpaceDN w:val="0"/>
      <w:spacing w:after="0" w:line="240" w:lineRule="auto"/>
      <w:ind w:left="342"/>
      <w:jc w:val="both"/>
    </w:pPr>
    <w:rPr>
      <w:rFonts w:ascii="Times New Roman" w:eastAsia="Times New Roman" w:hAnsi="Times New Roman" w:cs="Times New Roman"/>
      <w:sz w:val="24"/>
      <w:szCs w:val="24"/>
      <w:lang w:bidi="es-ES"/>
    </w:rPr>
  </w:style>
  <w:style w:type="character" w:customStyle="1" w:styleId="TextoindependienteCar">
    <w:name w:val="Texto independiente Car"/>
    <w:basedOn w:val="Fuentedeprrafopredeter"/>
    <w:link w:val="Textoindependiente"/>
    <w:uiPriority w:val="1"/>
    <w:rsid w:val="00B803DB"/>
    <w:rPr>
      <w:rFonts w:ascii="Times New Roman" w:eastAsia="Times New Roman" w:hAnsi="Times New Roman" w:cs="Times New Roman"/>
      <w:sz w:val="24"/>
      <w:szCs w:val="24"/>
      <w:lang w:val="es-ES" w:eastAsia="es-ES" w:bidi="es-ES"/>
    </w:rPr>
  </w:style>
  <w:style w:type="paragraph" w:styleId="Encabezado">
    <w:name w:val="header"/>
    <w:basedOn w:val="Normal"/>
    <w:link w:val="EncabezadoCar"/>
    <w:uiPriority w:val="99"/>
    <w:unhideWhenUsed/>
    <w:rsid w:val="002757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5743"/>
  </w:style>
  <w:style w:type="paragraph" w:styleId="Piedepgina">
    <w:name w:val="footer"/>
    <w:basedOn w:val="Normal"/>
    <w:link w:val="PiedepginaCar"/>
    <w:uiPriority w:val="99"/>
    <w:unhideWhenUsed/>
    <w:rsid w:val="002757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5743"/>
  </w:style>
  <w:style w:type="paragraph" w:styleId="NormalWeb">
    <w:name w:val="Normal (Web)"/>
    <w:basedOn w:val="Normal"/>
    <w:uiPriority w:val="99"/>
    <w:unhideWhenUsed/>
    <w:rsid w:val="0058343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546A8"/>
    <w:rPr>
      <w:b/>
      <w:bCs/>
    </w:rPr>
  </w:style>
  <w:style w:type="character" w:styleId="nfasis">
    <w:name w:val="Emphasis"/>
    <w:basedOn w:val="Fuentedeprrafopredeter"/>
    <w:uiPriority w:val="20"/>
    <w:qFormat/>
    <w:rsid w:val="00F54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ub.uy/ministerio-salud-publica/comunicacion/publicaciones/prospectos-de-las-vacunas-incluidas-en-el-certificado-esquema-de" TargetMode="External"/><Relationship Id="rId2" Type="http://schemas.openxmlformats.org/officeDocument/2006/relationships/hyperlink" Target="https://www.gub.uy/ministerio-salud-publica/comunicacion/publicaciones/vigilancia-de-efecto-adverso-supuestamente-atribuibles-la-vacunacion-e" TargetMode="External"/><Relationship Id="rId1" Type="http://schemas.openxmlformats.org/officeDocument/2006/relationships/hyperlink" Target="http://apps.who.int/immunization_monitoring/globalsummary/countries?countrycriteria%5Bcountry%5D%5B%5D=URY&amp;commit=OK" TargetMode="External"/><Relationship Id="rId5" Type="http://schemas.openxmlformats.org/officeDocument/2006/relationships/hyperlink" Target="https://www.gub.uy/ministerio-salud-publica/sites/ministerio-salud-publica/files/documentos/publicaciones/informe_anual_ESAVI_2019_para_publicar%20%289%29.pdf" TargetMode="External"/><Relationship Id="rId4" Type="http://schemas.openxmlformats.org/officeDocument/2006/relationships/hyperlink" Target="https://www.gub.uy/ministerio-salud-publica/comunicacion/publicaciones/vigilancia-de-efecto-adverso-supuestamente-atribuibles-la-vacunacio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D513B-3BE6-4A9C-9855-37B958E8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Rosengurtt</dc:creator>
  <cp:lastModifiedBy>ANA</cp:lastModifiedBy>
  <cp:revision>3</cp:revision>
  <cp:lastPrinted>2021-03-07T13:21:00Z</cp:lastPrinted>
  <dcterms:created xsi:type="dcterms:W3CDTF">2022-07-31T14:33:00Z</dcterms:created>
  <dcterms:modified xsi:type="dcterms:W3CDTF">2022-07-31T14:33:00Z</dcterms:modified>
</cp:coreProperties>
</file>